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F33AD">
      <w:pPr>
        <w:jc w:val="center"/>
        <w:rPr>
          <w:rFonts w:hint="eastAsia" w:ascii="Times New Roman" w:hAnsi="Times New Roman" w:eastAsia="仿宋" w:cs="Times New Roman"/>
          <w:b/>
          <w:bCs/>
          <w:sz w:val="44"/>
          <w:szCs w:val="40"/>
          <w:lang w:eastAsia="zh-CN"/>
        </w:rPr>
      </w:pPr>
      <w:r>
        <w:rPr>
          <w:rFonts w:hint="eastAsia" w:ascii="Times New Roman" w:hAnsi="Times New Roman" w:eastAsia="仿宋" w:cs="Times New Roman"/>
          <w:b/>
          <w:bCs/>
          <w:sz w:val="44"/>
          <w:szCs w:val="40"/>
          <w:lang w:eastAsia="zh-CN"/>
        </w:rPr>
        <w:t>大英县医疗救治救援中心医疗专项及特殊科室建设项目</w:t>
      </w:r>
    </w:p>
    <w:p w14:paraId="524E2EAA">
      <w:pPr>
        <w:jc w:val="center"/>
        <w:rPr>
          <w:rFonts w:ascii="Times New Roman" w:hAnsi="Times New Roman" w:eastAsia="仿宋" w:cs="Times New Roman"/>
          <w:b/>
          <w:bCs/>
          <w:sz w:val="44"/>
          <w:szCs w:val="40"/>
        </w:rPr>
      </w:pPr>
      <w:r>
        <w:rPr>
          <w:rFonts w:ascii="Times New Roman" w:hAnsi="Times New Roman" w:eastAsia="仿宋" w:cs="Times New Roman"/>
          <w:b/>
          <w:bCs/>
          <w:sz w:val="44"/>
          <w:szCs w:val="40"/>
        </w:rPr>
        <w:t>情况说明</w:t>
      </w:r>
    </w:p>
    <w:p w14:paraId="1C612027">
      <w:pPr>
        <w:pStyle w:val="2"/>
        <w:widowControl w:val="0"/>
        <w:spacing w:before="0" w:after="0" w:line="240" w:lineRule="exact"/>
        <w:rPr>
          <w:rFonts w:ascii="Times New Roman" w:hAnsi="Times New Roman" w:eastAsia="仿宋" w:cs="Times New Roman"/>
          <w:lang w:val="en-US"/>
        </w:rPr>
      </w:pPr>
    </w:p>
    <w:p w14:paraId="551B3D53">
      <w:pPr>
        <w:spacing w:before="163" w:beforeLines="50" w:line="360" w:lineRule="auto"/>
        <w:outlineLvl w:val="0"/>
        <w:rPr>
          <w:rFonts w:ascii="Times New Roman" w:hAnsi="Times New Roman" w:eastAsia="仿宋" w:cs="Times New Roman"/>
          <w:b/>
          <w:bCs/>
          <w:sz w:val="32"/>
          <w:szCs w:val="32"/>
        </w:rPr>
      </w:pPr>
      <w:bookmarkStart w:id="0" w:name="_Toc29970"/>
      <w:r>
        <w:rPr>
          <w:rFonts w:ascii="Times New Roman" w:hAnsi="Times New Roman" w:eastAsia="仿宋" w:cs="Times New Roman"/>
          <w:b/>
          <w:bCs/>
          <w:sz w:val="32"/>
          <w:szCs w:val="32"/>
        </w:rPr>
        <w:t>一、项目基本情况</w:t>
      </w:r>
      <w:bookmarkEnd w:id="0"/>
    </w:p>
    <w:p w14:paraId="110C8C18">
      <w:pPr>
        <w:pStyle w:val="4"/>
        <w:spacing w:before="0" w:after="0" w:line="360" w:lineRule="auto"/>
        <w:rPr>
          <w:rFonts w:ascii="Times New Roman" w:hAnsi="Times New Roman" w:eastAsia="仿宋" w:cs="Times New Roman"/>
        </w:rPr>
      </w:pPr>
      <w:bookmarkStart w:id="1" w:name="_Toc498385045"/>
      <w:bookmarkStart w:id="2" w:name="_Toc498385714"/>
      <w:bookmarkStart w:id="3" w:name="_Toc29907"/>
      <w:bookmarkStart w:id="4" w:name="_Toc29323"/>
      <w:r>
        <w:rPr>
          <w:rFonts w:ascii="Times New Roman" w:hAnsi="Times New Roman" w:eastAsia="仿宋" w:cs="Times New Roman"/>
        </w:rPr>
        <w:t>（一）</w:t>
      </w:r>
      <w:bookmarkEnd w:id="1"/>
      <w:bookmarkEnd w:id="2"/>
      <w:r>
        <w:rPr>
          <w:rFonts w:ascii="Times New Roman" w:hAnsi="Times New Roman" w:eastAsia="仿宋" w:cs="Times New Roman"/>
        </w:rPr>
        <w:t>市县及级行业专项规划概况</w:t>
      </w:r>
      <w:bookmarkEnd w:id="3"/>
      <w:bookmarkEnd w:id="4"/>
    </w:p>
    <w:p w14:paraId="0824175F">
      <w:pPr>
        <w:widowControl/>
        <w:spacing w:line="360" w:lineRule="auto"/>
        <w:ind w:firstLine="560" w:firstLineChars="200"/>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 xml:space="preserve">《中华人民共和国国民经济和社会发展第十四个五年规划和 2035 年远景目标纲要》 中提到：深化医药卫生体制改革：坚持基本 医疗卫生事业公益属性，以提高医疗质量和效率为导向，以公立医疗 机构为主体、非公立医疗机构为补充，扩大医疗服务资源供给。加强 公立医院建设，加快建立现代医院管理制度，深入推进治理结构、人 事薪酬、编制管理和绩效考核改革。加快优质医疗资源扩容和区域均 衡布局，建设国家医学中心和区域医疗中心。加强基层医疗卫生队伍 建设，以城市社区和农村基层、边境口岸城市、县级医院为重点，完 善城乡医疗服务网络。加快建设分级诊疗体系，积极发展医疗联合体。 加强预防、治疗、护理、康复有机衔接。 </w:t>
      </w:r>
    </w:p>
    <w:p w14:paraId="3B26C9A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 xml:space="preserve">《国务院办公厅关于推动公立医院高质量发展的意见》（国办发 〔2021〕18 号）：发挥县级医院在县域医共体中的龙头作用。按照 县乡一体化、乡村一体化原则，积极发展以县级医院为龙头的紧密型 县域医共体。加强县级医院（含中医医院）能力建设，提升核心专科、 夯实支撑专科、打造优势专科，提高肿瘤、心脑血管、呼吸、消化和 感染性疾病等防治能力，提高县域就诊率。加强城市三级医院对县级 医院的对口帮扶，逐步使县级公立医院达到二级甲等水平。加强县级 医院与专业公共卫生机构的分工协作和业务融合，做实公共卫生服 务。加强县级医院对乡镇卫生院、村卫生室的统筹管理，发挥县级医院医务人员对家庭医生团队的技术支撑作用，提升居民健康“守门人 ” 能力。加快实现县办中医医疗机构全覆盖，支持中医医院牵头组建县 域医共体。 </w:t>
      </w:r>
    </w:p>
    <w:p w14:paraId="7425A7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 xml:space="preserve">《国务院办公厅关于印发“十四五”国民健康规划的通知》（国 办发〔2022〕11 号） （四）加强职业健康保护：强化职业健康危害源头防控和风险管控。建立健全职业病和职业 病危害因素监测评估制度，扩大主动监测范围，到 2025 年，工作场 所职业病危害因素监测合格率达到 85%以上。开展尘肺病筛查和新兴 行业及工作相关疾病等职业健康损害监测。完善用人单位职业健康信 息及风险评估基础数据库，构建职业病危害风险分类分级、预测预警 和监管机制，对职业病危害高风险企业实施重点监管。强化重点行业 职业病危害专项治理。鼓励企业完善职业病防护设施，改善工作场所 劳动条件。 </w:t>
      </w:r>
    </w:p>
    <w:p w14:paraId="1CC105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 xml:space="preserve">完善职业病诊断和救治保障。健全职业病诊断与鉴定制度，优化 诊断鉴定程序。强化尘肺病等职业病救治保障，实施分类救治救助， 对未参加工伤保险且用人单位不存在或无法确定劳动关系的尘肺病 患者，按规定落实基本医疗保障和基本生活救助政策。 </w:t>
      </w:r>
    </w:p>
    <w:p w14:paraId="19594B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 xml:space="preserve">加强职业健康促进。推动用人单位开展职工健康管理，加强职业 健康管理队伍建设，提升职业健康管理能力。全面提高劳动者职业健 康素养，倡导健康工作方式，显著提升工作相关的肌肉骨骼疾病、精 神和心理疾病等防治知识普及率。推动健康企业建设，培育一批健康 企业特色样板。深入开展争做“职业健康达人 ”活动。 </w:t>
      </w:r>
    </w:p>
    <w:p w14:paraId="269D5C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bCs/>
          <w:sz w:val="28"/>
          <w:szCs w:val="28"/>
          <w:lang w:val="en-US" w:eastAsia="zh-CN"/>
        </w:rPr>
      </w:pPr>
      <w:r>
        <w:rPr>
          <w:rFonts w:hint="eastAsia" w:ascii="Times New Roman" w:hAnsi="Times New Roman" w:eastAsia="仿宋" w:cs="Times New Roman"/>
          <w:bCs/>
          <w:sz w:val="28"/>
          <w:szCs w:val="28"/>
          <w:lang w:val="en-US" w:eastAsia="zh-CN"/>
        </w:rPr>
        <w:t>《健康中国 2030 规划纲要》建立与国际接轨、体现中国特色的 医疗质量管理与控制体系，基本健全覆盖主要专业的国家、省、市三 级医疗质量控制组织，推出一批国际化标准规范。建设医疗质量管理 与控制信息化平台，实现全行业全方位精准、实时管理与控制，持续 改进医疗质量和医疗安全，提升医疗服务同质化程度，再住院率、抗 菌药物使用率等主要医疗服务质量指标达到或接近世界先进水平。全 面实施临床路径管理，规范诊疗行为，优化诊疗流程，增强患者就医 获得感。推进合理用药，保障临床用血安全，基本实现医疗机构检查、 检验结果互认。加强医疗服务人文关怀，构建和谐医患关系。依法严 厉打击涉医违法犯罪行为特别是伤害医务人员的暴力犯罪行为，保护 医务人员安全。</w:t>
      </w:r>
    </w:p>
    <w:p w14:paraId="69843CC1">
      <w:pPr>
        <w:widowControl/>
        <w:spacing w:line="360" w:lineRule="auto"/>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rPr>
        <w:t>（2）四川省相关政策及规划</w:t>
      </w:r>
    </w:p>
    <w:p w14:paraId="6F1351C0">
      <w:pPr>
        <w:widowControl/>
        <w:spacing w:line="360" w:lineRule="auto"/>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rPr>
        <w:t>《四川省人民政府办公厅关于建立健全现代医院管理制度的实施意见》（川办发〔2018〕39号）：建立健全统一高效的公立医院领导体制、治理体系、管理制度和运行机制，形成比较完备的医疗机构管理政策和制度规范，推动各级各类医院管理法治化、规范化、精细化、科学化，基本建立权责清晰、管理科学、治理完善、运行高效、监督有力的现代医院管理制度。</w:t>
      </w:r>
    </w:p>
    <w:p w14:paraId="53342D68">
      <w:pPr>
        <w:widowControl/>
        <w:spacing w:line="360" w:lineRule="auto"/>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rPr>
        <w:t>（3）遂宁市相关政策及规划</w:t>
      </w:r>
    </w:p>
    <w:p w14:paraId="13BED5F6">
      <w:pPr>
        <w:widowControl/>
        <w:spacing w:line="360" w:lineRule="auto"/>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遂宁市国民经济和社会发展第十四个五年规划和二O三五年远景目标纲要》中提到，要提升医院医疗水平，提升妇儿、急救、康复、精神等专科医疗服务水平，提高重大疾病筛查率和规范治疗率，建设成渝中部区域性医疗中心。推动县级医院能力提升，推进县域医疗次中心建设。补齐基层公共卫生服务短板，推动优质医疗资源下沉，实现区域医疗能力均衡发展。鼓励社会资本开办各类医疗机构，推进非营利性民营医院发展。整合各级各类医疗卫生机构服务功能，完善公立医院、专业医疗服务机构、基层医疗机构以及社会办医之间的分工协作关系。完善疾病预防控制、妇幼保健、精神卫生、老年健康等公共卫生服务体系，提高重大传染病、慢性病、地方病、职业病、精神疾病等防治水平。</w:t>
      </w:r>
    </w:p>
    <w:p w14:paraId="1E390FF4">
      <w:pPr>
        <w:widowControl/>
        <w:spacing w:line="360" w:lineRule="auto"/>
        <w:ind w:firstLine="560" w:firstLineChars="200"/>
        <w:rPr>
          <w:rFonts w:hint="eastAsia" w:ascii="Times New Roman" w:hAnsi="Times New Roman" w:eastAsia="仿宋" w:cs="Times New Roman"/>
          <w:bCs/>
          <w:sz w:val="28"/>
          <w:szCs w:val="28"/>
        </w:rPr>
      </w:pPr>
      <w:r>
        <w:rPr>
          <w:rFonts w:hint="default" w:ascii="Times New Roman" w:hAnsi="Times New Roman" w:eastAsia="仿宋" w:cs="Times New Roman"/>
          <w:bCs/>
          <w:sz w:val="28"/>
          <w:szCs w:val="28"/>
          <w:lang w:val="en-US" w:eastAsia="zh-CN"/>
        </w:rPr>
        <w:t>《遂宁市“十四五”卫生健康发展规划》：</w:t>
      </w:r>
    </w:p>
    <w:p w14:paraId="6B2CFCAA">
      <w:pPr>
        <w:widowControl/>
        <w:numPr>
          <w:ilvl w:val="0"/>
          <w:numId w:val="1"/>
        </w:numPr>
        <w:spacing w:line="360" w:lineRule="auto"/>
        <w:ind w:firstLine="560" w:firstLineChars="200"/>
        <w:rPr>
          <w:rFonts w:hint="eastAsia" w:ascii="Times New Roman" w:hAnsi="Times New Roman" w:eastAsia="仿宋" w:cs="Times New Roman"/>
          <w:bCs/>
          <w:sz w:val="28"/>
          <w:szCs w:val="28"/>
        </w:rPr>
      </w:pPr>
      <w:r>
        <w:rPr>
          <w:rFonts w:hint="default" w:ascii="Times New Roman" w:hAnsi="Times New Roman" w:eastAsia="仿宋" w:cs="Times New Roman"/>
          <w:bCs/>
          <w:sz w:val="28"/>
          <w:szCs w:val="28"/>
          <w:lang w:val="en-US" w:eastAsia="zh-CN"/>
        </w:rPr>
        <w:t>推动公立医院高质量发展</w:t>
      </w:r>
      <w:r>
        <w:rPr>
          <w:rFonts w:hint="default" w:ascii="Times New Roman" w:hAnsi="Times New Roman" w:eastAsia="仿宋" w:cs="Times New Roman"/>
          <w:bCs/>
          <w:sz w:val="28"/>
          <w:szCs w:val="28"/>
          <w:lang w:val="en-US" w:eastAsia="zh-CN"/>
        </w:rPr>
        <w:br w:type="textWrapping"/>
      </w:r>
      <w:r>
        <w:rPr>
          <w:rFonts w:hint="eastAsia" w:ascii="Times New Roman" w:hAnsi="Times New Roman" w:eastAsia="仿宋" w:cs="Times New Roman"/>
          <w:bCs/>
          <w:sz w:val="28"/>
          <w:szCs w:val="28"/>
          <w:lang w:val="en-US" w:eastAsia="zh-CN"/>
        </w:rPr>
        <w:tab/>
      </w:r>
      <w:r>
        <w:rPr>
          <w:rFonts w:hint="eastAsia" w:ascii="Times New Roman" w:hAnsi="Times New Roman" w:eastAsia="仿宋" w:cs="Times New Roman"/>
          <w:bCs/>
          <w:sz w:val="28"/>
          <w:szCs w:val="28"/>
          <w:lang w:val="en-US" w:eastAsia="zh-CN"/>
        </w:rPr>
        <w:t xml:space="preserve"> </w:t>
      </w:r>
      <w:r>
        <w:rPr>
          <w:rFonts w:hint="default" w:ascii="Times New Roman" w:hAnsi="Times New Roman" w:eastAsia="仿宋" w:cs="Times New Roman"/>
          <w:bCs/>
          <w:sz w:val="28"/>
          <w:szCs w:val="28"/>
          <w:lang w:val="en-US" w:eastAsia="zh-CN"/>
        </w:rPr>
        <w:t>支持市中心医院开展公立医院高质量发展试点，形成可推广借鉴的典型经验。到2025年，各县（市、区）至少选择1家公立医院开展公立医院高质量发展试点。进一步健全现代医院管理制度，加强公立医院党的建设，全面落实党委领导下的院长负责制。充分发挥绩效考核指挥棒作用，全面开展二级及以上公立医院绩效考核，推动公立医院发展方式从规模扩张转向提质增效、运行模式从粗放管理转向精细化管理、资源配置从注重物质要素转向更加注重人才技术要素。合理确定、动态调整公立医院薪酬水平。加强公立医院精细化管理，优化运营管理模式，整合医疗、教学、科研等业务系统和人、财、物等资源系统。推动实行全口径、全过程、全员性、全方位预算管理。建立与本行业、本单位治理体系和治理能力相适应的、权责一致、制衡有效、运行顺畅、执行有力的内部控制体系。</w:t>
      </w:r>
    </w:p>
    <w:p w14:paraId="2B1E8C86">
      <w:pPr>
        <w:widowControl/>
        <w:spacing w:line="360" w:lineRule="auto"/>
        <w:ind w:firstLine="560" w:firstLineChars="200"/>
        <w:rPr>
          <w:rFonts w:hint="default" w:ascii="Times New Roman" w:hAnsi="Times New Roman" w:eastAsia="仿宋" w:cs="Times New Roman"/>
          <w:bCs/>
          <w:sz w:val="28"/>
          <w:szCs w:val="28"/>
        </w:rPr>
      </w:pPr>
      <w:r>
        <w:rPr>
          <w:rFonts w:hint="eastAsia" w:ascii="Times New Roman" w:hAnsi="Times New Roman" w:eastAsia="仿宋" w:cs="Times New Roman"/>
          <w:bCs/>
          <w:sz w:val="28"/>
          <w:szCs w:val="28"/>
          <w:lang w:val="en-US" w:eastAsia="zh-CN"/>
        </w:rPr>
        <w:t>2.</w:t>
      </w:r>
      <w:r>
        <w:rPr>
          <w:rFonts w:hint="default" w:ascii="Times New Roman" w:hAnsi="Times New Roman" w:eastAsia="仿宋" w:cs="Times New Roman"/>
          <w:bCs/>
          <w:sz w:val="28"/>
          <w:szCs w:val="28"/>
          <w:lang w:val="en-US" w:eastAsia="zh-CN"/>
        </w:rPr>
        <w:t>加强临床重点专科建设</w:t>
      </w:r>
      <w:r>
        <w:rPr>
          <w:rFonts w:hint="default" w:ascii="Times New Roman" w:hAnsi="Times New Roman" w:eastAsia="仿宋" w:cs="Times New Roman"/>
          <w:bCs/>
          <w:sz w:val="28"/>
          <w:szCs w:val="28"/>
          <w:lang w:val="en-US" w:eastAsia="zh-CN"/>
        </w:rPr>
        <w:br w:type="textWrapping"/>
      </w:r>
      <w:r>
        <w:rPr>
          <w:rFonts w:hint="eastAsia" w:ascii="Times New Roman" w:hAnsi="Times New Roman" w:eastAsia="仿宋" w:cs="Times New Roman"/>
          <w:bCs/>
          <w:sz w:val="28"/>
          <w:szCs w:val="28"/>
          <w:lang w:val="en-US" w:eastAsia="zh-CN"/>
        </w:rPr>
        <w:tab/>
      </w:r>
      <w:r>
        <w:rPr>
          <w:rFonts w:hint="eastAsia" w:ascii="Times New Roman" w:hAnsi="Times New Roman" w:eastAsia="仿宋" w:cs="Times New Roman"/>
          <w:bCs/>
          <w:sz w:val="28"/>
          <w:szCs w:val="28"/>
          <w:lang w:val="en-US" w:eastAsia="zh-CN"/>
        </w:rPr>
        <w:t xml:space="preserve"> </w:t>
      </w:r>
      <w:r>
        <w:rPr>
          <w:rFonts w:hint="default" w:ascii="Times New Roman" w:hAnsi="Times New Roman" w:eastAsia="仿宋" w:cs="Times New Roman"/>
          <w:bCs/>
          <w:sz w:val="28"/>
          <w:szCs w:val="28"/>
          <w:lang w:val="en-US" w:eastAsia="zh-CN"/>
        </w:rPr>
        <w:t>大力发挥特色重点专科优势，形成临床重点专科群，以专科发展带动诊疗能力和水平提升。重点加强肿瘤、呼吸、消化、心血管、妇产、儿科、重症医学、胃肠外科、骨科、康复等临床专科建设，发展微创与介入、移植与再生等特色专科。支持高水平临床重点专科创建，巩固提升重点专科、学科实力和影响力，高质量完成市中心医院肿瘤科国家临床重点专科建设。完善市级临床重点专科评审指标体系，开展临床重点专科动态管理，加大对儿童、肿瘤等紧缺专业申报创建力度。加快推进市级临床重点专科上档升级，争创省级、国家级临床重点专科，到2025年，培育省级临床重点专科10个，突破国家临床重点专科3个。</w:t>
      </w:r>
    </w:p>
    <w:p w14:paraId="4D108A4E">
      <w:pPr>
        <w:widowControl/>
        <w:spacing w:line="360" w:lineRule="auto"/>
        <w:ind w:firstLine="560" w:firstLineChars="200"/>
        <w:rPr>
          <w:rFonts w:hint="default" w:ascii="Times New Roman" w:hAnsi="Times New Roman" w:eastAsia="仿宋" w:cs="Times New Roman"/>
          <w:bCs/>
          <w:sz w:val="28"/>
          <w:szCs w:val="28"/>
        </w:rPr>
      </w:pPr>
      <w:r>
        <w:rPr>
          <w:rFonts w:hint="eastAsia" w:ascii="Times New Roman" w:hAnsi="Times New Roman" w:eastAsia="仿宋" w:cs="Times New Roman"/>
          <w:bCs/>
          <w:sz w:val="28"/>
          <w:szCs w:val="28"/>
          <w:lang w:val="en-US" w:eastAsia="zh-CN"/>
        </w:rPr>
        <w:t>3.</w:t>
      </w:r>
      <w:r>
        <w:rPr>
          <w:rFonts w:hint="default" w:ascii="Times New Roman" w:hAnsi="Times New Roman" w:eastAsia="仿宋" w:cs="Times New Roman"/>
          <w:bCs/>
          <w:sz w:val="28"/>
          <w:szCs w:val="28"/>
          <w:lang w:val="en-US" w:eastAsia="zh-CN"/>
        </w:rPr>
        <w:t>推进“三医联动”改革</w:t>
      </w:r>
      <w:r>
        <w:rPr>
          <w:rFonts w:hint="default" w:ascii="Times New Roman" w:hAnsi="Times New Roman" w:eastAsia="仿宋" w:cs="Times New Roman"/>
          <w:bCs/>
          <w:sz w:val="28"/>
          <w:szCs w:val="28"/>
          <w:lang w:val="en-US" w:eastAsia="zh-CN"/>
        </w:rPr>
        <w:br w:type="textWrapping"/>
      </w:r>
      <w:r>
        <w:rPr>
          <w:rFonts w:hint="eastAsia" w:ascii="Times New Roman" w:hAnsi="Times New Roman" w:eastAsia="仿宋" w:cs="Times New Roman"/>
          <w:bCs/>
          <w:sz w:val="28"/>
          <w:szCs w:val="28"/>
          <w:lang w:val="en-US" w:eastAsia="zh-CN"/>
        </w:rPr>
        <w:tab/>
      </w:r>
      <w:r>
        <w:rPr>
          <w:rFonts w:hint="eastAsia" w:ascii="Times New Roman" w:hAnsi="Times New Roman" w:eastAsia="仿宋" w:cs="Times New Roman"/>
          <w:bCs/>
          <w:sz w:val="28"/>
          <w:szCs w:val="28"/>
          <w:lang w:val="en-US" w:eastAsia="zh-CN"/>
        </w:rPr>
        <w:t xml:space="preserve"> </w:t>
      </w:r>
      <w:r>
        <w:rPr>
          <w:rFonts w:hint="default" w:ascii="Times New Roman" w:hAnsi="Times New Roman" w:eastAsia="仿宋" w:cs="Times New Roman"/>
          <w:bCs/>
          <w:sz w:val="28"/>
          <w:szCs w:val="28"/>
          <w:lang w:val="en-US" w:eastAsia="zh-CN"/>
        </w:rPr>
        <w:t>大力推广三明医改经验，落实各级政府深化医改主体责任，实现“三医”联动、区域联动、部门协同和政策统筹。推进药品耗材集中采购，严格执行国家及全省药品和医用耗材集中带量采购中选结果，落实医保资金结余留用政策。深化医疗服务价格改革，建立灵敏有度的价格动态调整机制，定期开展调价评估，提高体现技术劳务价值的医疗服务价格。加快审核新增医疗服务价格项目，严格落实全省第二批“互联网+”医疗服务价格政策。建立医疗服务价格监测制度，定期监测公立医疗机构医疗服务价格、成本、费用、收入分配及改革运行等情况。加强医保支付方式改革，推进按疾病诊断相关分组（DRG）付费省级试点。到2025年底，DRG支付方式覆盖全市所有符合条件的开展住院服务的医疗机构，基本实现病种、医保基金全覆盖。完善基层机构医保政策，引导恢复期和康复期患者到基层就诊。完善医保经办机构与医疗机构的谈判协商和风险共担机制，鼓励有条件的辖区按协议约定向医疗机构预付部分医保基金，缓解其资金运行压力。督促落实紧密型县域医共体医保管理改革，建成医共体一体化信息平台，实行一套监管体系。</w:t>
      </w:r>
    </w:p>
    <w:p w14:paraId="0C6D332E">
      <w:pPr>
        <w:widowControl/>
        <w:spacing w:line="360" w:lineRule="auto"/>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rPr>
        <w:t>综上所述，本项目建设是贯彻落实国务院、四川省、遂宁市相关政策及会议精神的重要体现，通过实施</w:t>
      </w:r>
      <w:r>
        <w:rPr>
          <w:rFonts w:hint="eastAsia" w:ascii="Times New Roman" w:hAnsi="Times New Roman" w:eastAsia="仿宋" w:cs="Times New Roman"/>
          <w:bCs/>
          <w:sz w:val="28"/>
          <w:szCs w:val="28"/>
          <w:lang w:eastAsia="zh-CN"/>
        </w:rPr>
        <w:t>大英县医疗救治救援中心医疗专项及特殊科室建设项目</w:t>
      </w:r>
      <w:r>
        <w:rPr>
          <w:rFonts w:hint="eastAsia" w:ascii="Times New Roman" w:hAnsi="Times New Roman" w:eastAsia="仿宋" w:cs="Times New Roman"/>
          <w:bCs/>
          <w:sz w:val="28"/>
          <w:szCs w:val="28"/>
        </w:rPr>
        <w:t>，改善当地医疗服务水平现状，属于促进当地的社会和谐发展的具体行动和重要举措</w:t>
      </w:r>
      <w:r>
        <w:rPr>
          <w:rFonts w:ascii="Times New Roman" w:hAnsi="Times New Roman" w:eastAsia="仿宋" w:cs="Times New Roman"/>
          <w:bCs/>
          <w:sz w:val="28"/>
          <w:szCs w:val="28"/>
        </w:rPr>
        <w:t>。</w:t>
      </w:r>
    </w:p>
    <w:p w14:paraId="54511140">
      <w:pPr>
        <w:pStyle w:val="4"/>
        <w:spacing w:before="0" w:after="0" w:line="360" w:lineRule="auto"/>
        <w:rPr>
          <w:rFonts w:ascii="Times New Roman" w:hAnsi="Times New Roman" w:eastAsia="仿宋" w:cs="Times New Roman"/>
        </w:rPr>
      </w:pPr>
      <w:bookmarkStart w:id="5" w:name="_Toc9841"/>
      <w:bookmarkStart w:id="6" w:name="_Toc18204"/>
      <w:bookmarkStart w:id="7" w:name="_Toc21332"/>
      <w:bookmarkStart w:id="8" w:name="_Toc30768"/>
      <w:bookmarkStart w:id="9" w:name="_Toc3378"/>
      <w:bookmarkStart w:id="10" w:name="_Toc8651"/>
      <w:bookmarkStart w:id="11" w:name="_Toc19274"/>
      <w:bookmarkStart w:id="12" w:name="_Toc30057"/>
      <w:bookmarkStart w:id="13" w:name="_Toc29490"/>
      <w:r>
        <w:rPr>
          <w:rFonts w:ascii="Times New Roman" w:hAnsi="Times New Roman" w:eastAsia="仿宋" w:cs="Times New Roman"/>
        </w:rPr>
        <w:t>（二）项目情况</w:t>
      </w:r>
      <w:bookmarkEnd w:id="5"/>
      <w:bookmarkEnd w:id="6"/>
      <w:bookmarkEnd w:id="7"/>
      <w:bookmarkEnd w:id="8"/>
      <w:bookmarkEnd w:id="9"/>
      <w:bookmarkEnd w:id="10"/>
      <w:bookmarkEnd w:id="11"/>
      <w:bookmarkEnd w:id="12"/>
    </w:p>
    <w:p w14:paraId="450FA9AA">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14" w:name="_Toc11692"/>
      <w:bookmarkStart w:id="15" w:name="_Toc7914"/>
      <w:bookmarkStart w:id="16" w:name="_Toc1064"/>
      <w:bookmarkStart w:id="17" w:name="_Toc6078"/>
      <w:bookmarkStart w:id="18" w:name="_Toc23988"/>
      <w:bookmarkStart w:id="19" w:name="_Toc21872"/>
      <w:bookmarkStart w:id="20" w:name="_Toc14119"/>
      <w:bookmarkStart w:id="21" w:name="_Toc9265"/>
      <w:r>
        <w:rPr>
          <w:rFonts w:ascii="Times New Roman" w:hAnsi="Times New Roman" w:eastAsia="仿宋" w:cs="Times New Roman"/>
          <w:sz w:val="28"/>
          <w:szCs w:val="28"/>
        </w:rPr>
        <w:t>1.参与主体</w:t>
      </w:r>
      <w:bookmarkEnd w:id="14"/>
      <w:bookmarkEnd w:id="15"/>
      <w:bookmarkEnd w:id="16"/>
      <w:bookmarkEnd w:id="17"/>
      <w:bookmarkEnd w:id="18"/>
      <w:bookmarkEnd w:id="19"/>
      <w:bookmarkEnd w:id="20"/>
      <w:bookmarkEnd w:id="21"/>
    </w:p>
    <w:p w14:paraId="04ECC603">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实施机构：</w:t>
      </w:r>
      <w:r>
        <w:rPr>
          <w:rFonts w:ascii="Times New Roman" w:hAnsi="Times New Roman" w:eastAsia="仿宋" w:cs="Times New Roman"/>
          <w:bCs/>
          <w:sz w:val="28"/>
          <w:szCs w:val="28"/>
        </w:rPr>
        <w:t>大英县卫生健康局；</w:t>
      </w:r>
    </w:p>
    <w:p w14:paraId="0A75201C">
      <w:pPr>
        <w:spacing w:line="360" w:lineRule="auto"/>
        <w:ind w:firstLine="560" w:firstLineChars="200"/>
        <w:rPr>
          <w:rFonts w:ascii="Times New Roman" w:hAnsi="Times New Roman" w:eastAsia="仿宋" w:cs="Times New Roman"/>
          <w:bCs/>
          <w:sz w:val="28"/>
          <w:szCs w:val="28"/>
        </w:rPr>
      </w:pPr>
      <w:r>
        <w:rPr>
          <w:rFonts w:ascii="Times New Roman" w:hAnsi="Times New Roman" w:eastAsia="仿宋" w:cs="Times New Roman"/>
          <w:caps/>
          <w:sz w:val="28"/>
          <w:szCs w:val="28"/>
        </w:rPr>
        <w:t>业主单位：</w:t>
      </w:r>
      <w:r>
        <w:rPr>
          <w:rFonts w:hint="eastAsia" w:ascii="Times New Roman" w:hAnsi="Times New Roman" w:eastAsia="仿宋" w:cs="Times New Roman"/>
          <w:bCs/>
          <w:sz w:val="28"/>
          <w:szCs w:val="28"/>
          <w:lang w:eastAsia="zh-CN"/>
        </w:rPr>
        <w:t>大英县人民医院</w:t>
      </w:r>
      <w:r>
        <w:rPr>
          <w:rFonts w:ascii="Times New Roman" w:hAnsi="Times New Roman" w:eastAsia="仿宋" w:cs="Times New Roman"/>
          <w:bCs/>
          <w:sz w:val="28"/>
          <w:szCs w:val="28"/>
        </w:rPr>
        <w:t>。</w:t>
      </w:r>
    </w:p>
    <w:p w14:paraId="4A5D7C6E">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22" w:name="_Toc10923"/>
      <w:bookmarkStart w:id="23" w:name="_Toc9122"/>
      <w:bookmarkStart w:id="24" w:name="_Toc22356"/>
      <w:bookmarkStart w:id="25" w:name="_Toc4294"/>
      <w:bookmarkStart w:id="26" w:name="_Toc5326"/>
      <w:bookmarkStart w:id="27" w:name="_Toc6630"/>
      <w:bookmarkStart w:id="28" w:name="_Toc14972"/>
      <w:bookmarkStart w:id="29" w:name="_Toc16934"/>
      <w:bookmarkStart w:id="30" w:name="_Toc30046"/>
      <w:r>
        <w:rPr>
          <w:rFonts w:ascii="Times New Roman" w:hAnsi="Times New Roman" w:eastAsia="仿宋" w:cs="Times New Roman"/>
          <w:sz w:val="28"/>
          <w:szCs w:val="28"/>
        </w:rPr>
        <w:t>2.项目概况</w:t>
      </w:r>
      <w:bookmarkEnd w:id="22"/>
      <w:bookmarkEnd w:id="23"/>
      <w:bookmarkEnd w:id="24"/>
      <w:bookmarkEnd w:id="25"/>
      <w:bookmarkEnd w:id="26"/>
      <w:bookmarkEnd w:id="27"/>
      <w:bookmarkEnd w:id="28"/>
      <w:bookmarkEnd w:id="29"/>
      <w:bookmarkEnd w:id="30"/>
    </w:p>
    <w:p w14:paraId="7F7B72E1">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（1）项目名称：</w:t>
      </w:r>
      <w:r>
        <w:rPr>
          <w:rFonts w:hint="eastAsia" w:ascii="Times New Roman" w:hAnsi="Times New Roman" w:eastAsia="仿宋" w:cs="Times New Roman"/>
          <w:caps/>
          <w:sz w:val="28"/>
          <w:szCs w:val="28"/>
          <w:lang w:eastAsia="zh-CN"/>
        </w:rPr>
        <w:t>大英县医疗救治救援中心医疗专项及特殊科室建设项目</w:t>
      </w:r>
      <w:r>
        <w:rPr>
          <w:rFonts w:ascii="Times New Roman" w:hAnsi="Times New Roman" w:eastAsia="仿宋" w:cs="Times New Roman"/>
          <w:caps/>
          <w:sz w:val="28"/>
          <w:szCs w:val="28"/>
        </w:rPr>
        <w:t>。</w:t>
      </w:r>
    </w:p>
    <w:p w14:paraId="3DF329A9">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（2）项目所属领域：</w:t>
      </w:r>
      <w:r>
        <w:rPr>
          <w:rFonts w:hint="eastAsia" w:ascii="Times New Roman" w:hAnsi="Times New Roman" w:eastAsia="仿宋" w:cs="Times New Roman"/>
          <w:caps/>
          <w:sz w:val="28"/>
          <w:szCs w:val="28"/>
        </w:rPr>
        <w:t>社会事业-卫生健康</w:t>
      </w:r>
      <w:r>
        <w:rPr>
          <w:rFonts w:ascii="Times New Roman" w:hAnsi="Times New Roman" w:eastAsia="仿宋" w:cs="Times New Roman"/>
          <w:caps/>
          <w:sz w:val="28"/>
          <w:szCs w:val="28"/>
        </w:rPr>
        <w:t>。</w:t>
      </w:r>
    </w:p>
    <w:p w14:paraId="3491FF0E">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（3）项目建设工期：</w:t>
      </w:r>
      <w:r>
        <w:rPr>
          <w:rFonts w:hint="eastAsia" w:ascii="Times New Roman" w:hAnsi="Times New Roman" w:eastAsia="仿宋" w:cs="Times New Roman"/>
          <w:caps/>
          <w:sz w:val="28"/>
          <w:szCs w:val="28"/>
          <w:lang w:val="en-US" w:eastAsia="zh-CN"/>
        </w:rPr>
        <w:t>24</w:t>
      </w:r>
      <w:r>
        <w:rPr>
          <w:rFonts w:hint="eastAsia" w:ascii="Times New Roman" w:hAnsi="Times New Roman" w:eastAsia="仿宋" w:cs="Times New Roman"/>
          <w:caps/>
          <w:sz w:val="28"/>
          <w:szCs w:val="28"/>
        </w:rPr>
        <w:t>个月</w:t>
      </w:r>
      <w:r>
        <w:rPr>
          <w:rFonts w:ascii="Times New Roman" w:hAnsi="Times New Roman" w:eastAsia="仿宋" w:cs="Times New Roman"/>
          <w:caps/>
          <w:sz w:val="28"/>
          <w:szCs w:val="28"/>
        </w:rPr>
        <w:t>。</w:t>
      </w:r>
    </w:p>
    <w:p w14:paraId="5FF27A93">
      <w:pPr>
        <w:widowControl/>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（4）项目区位：</w:t>
      </w:r>
      <w:r>
        <w:rPr>
          <w:rFonts w:hint="eastAsia" w:ascii="Times New Roman" w:hAnsi="Times New Roman" w:eastAsia="仿宋" w:cs="Times New Roman"/>
          <w:caps/>
          <w:sz w:val="28"/>
          <w:szCs w:val="28"/>
        </w:rPr>
        <w:t>大英县郪江新城</w:t>
      </w:r>
      <w:r>
        <w:rPr>
          <w:rFonts w:ascii="Times New Roman" w:hAnsi="Times New Roman" w:eastAsia="仿宋" w:cs="Times New Roman"/>
          <w:caps/>
          <w:sz w:val="28"/>
          <w:szCs w:val="28"/>
        </w:rPr>
        <w:t>。</w:t>
      </w:r>
    </w:p>
    <w:p w14:paraId="745545F8">
      <w:pPr>
        <w:widowControl/>
        <w:spacing w:line="360" w:lineRule="auto"/>
        <w:ind w:firstLine="560" w:firstLineChars="200"/>
        <w:rPr>
          <w:rFonts w:ascii="Times New Roman" w:hAnsi="Times New Roman" w:eastAsia="仿宋" w:cs="Times New Roman"/>
        </w:rPr>
      </w:pPr>
      <w:r>
        <w:rPr>
          <w:rFonts w:ascii="Times New Roman" w:hAnsi="Times New Roman" w:eastAsia="仿宋" w:cs="Times New Roman"/>
          <w:caps/>
          <w:sz w:val="28"/>
          <w:szCs w:val="28"/>
        </w:rPr>
        <w:t>（5）项目说明：</w:t>
      </w:r>
      <w:r>
        <w:rPr>
          <w:rFonts w:ascii="Times New Roman" w:hAnsi="Times New Roman" w:eastAsia="仿宋" w:cs="Times New Roman"/>
          <w:caps/>
          <w:sz w:val="28"/>
          <w:szCs w:val="28"/>
          <w:lang w:val="en-US" w:eastAsia="zh-CN"/>
        </w:rPr>
        <w:t>本项目为改建工程，资产无抵押或质押情况</w:t>
      </w:r>
      <w:r>
        <w:rPr>
          <w:rFonts w:ascii="Times New Roman" w:hAnsi="Times New Roman" w:eastAsia="仿宋" w:cs="Times New Roman"/>
          <w:caps/>
          <w:sz w:val="28"/>
          <w:szCs w:val="28"/>
        </w:rPr>
        <w:t>。</w:t>
      </w:r>
    </w:p>
    <w:p w14:paraId="066A42DE">
      <w:pPr>
        <w:spacing w:line="360" w:lineRule="auto"/>
        <w:ind w:firstLine="560" w:firstLineChars="200"/>
        <w:rPr>
          <w:rFonts w:ascii="Times New Roman" w:hAnsi="Times New Roman" w:eastAsia="仿宋" w:cs="Times New Roman"/>
          <w:caps/>
          <w:sz w:val="28"/>
          <w:szCs w:val="28"/>
        </w:rPr>
      </w:pPr>
      <w:r>
        <w:rPr>
          <w:rFonts w:ascii="Times New Roman" w:hAnsi="Times New Roman" w:eastAsia="仿宋" w:cs="Times New Roman"/>
          <w:caps/>
          <w:sz w:val="28"/>
          <w:szCs w:val="28"/>
        </w:rPr>
        <w:t>（6）建设内容：</w:t>
      </w:r>
      <w:r>
        <w:rPr>
          <w:rFonts w:ascii="Times New Roman" w:hAnsi="Times New Roman" w:eastAsia="仿宋" w:cs="Times New Roman"/>
          <w:caps/>
          <w:sz w:val="28"/>
          <w:szCs w:val="28"/>
          <w:lang w:val="en-US" w:eastAsia="zh-CN"/>
        </w:rPr>
        <w:t xml:space="preserve">改建约 </w:t>
      </w:r>
      <w:r>
        <w:rPr>
          <w:rFonts w:hint="default" w:ascii="Times New Roman" w:hAnsi="Times New Roman" w:eastAsia="仿宋" w:cs="Times New Roman"/>
          <w:caps/>
          <w:sz w:val="28"/>
          <w:szCs w:val="28"/>
          <w:lang w:val="en-US" w:eastAsia="zh-CN"/>
        </w:rPr>
        <w:t>12500 平方米的特殊科室：包括手术室、ICU、检验科、输血科、抢救室、EICU、NICU、HDU、血透室等；建设医疗专项工程：包括防护专项、净化专项、实验室专项、医用纯水专项、医用气体专项等 9 个专项配套医疗系统升级及购置相关医疗设备等</w:t>
      </w:r>
      <w:r>
        <w:rPr>
          <w:rFonts w:ascii="Times New Roman" w:hAnsi="Times New Roman" w:eastAsia="仿宋" w:cs="Times New Roman"/>
          <w:caps/>
          <w:sz w:val="28"/>
          <w:szCs w:val="28"/>
        </w:rPr>
        <w:t>。</w:t>
      </w:r>
    </w:p>
    <w:bookmarkEnd w:id="13"/>
    <w:p w14:paraId="3593F738">
      <w:pPr>
        <w:spacing w:before="326" w:beforeLines="100" w:line="360" w:lineRule="auto"/>
        <w:outlineLvl w:val="0"/>
        <w:rPr>
          <w:rFonts w:ascii="Times New Roman" w:hAnsi="Times New Roman" w:eastAsia="仿宋" w:cs="Times New Roman"/>
          <w:b/>
          <w:bCs/>
          <w:sz w:val="32"/>
          <w:szCs w:val="32"/>
        </w:rPr>
      </w:pPr>
      <w:bookmarkStart w:id="31" w:name="_Toc1720132"/>
      <w:bookmarkStart w:id="32" w:name="_Toc522211065"/>
      <w:bookmarkStart w:id="33" w:name="_Toc1403"/>
      <w:bookmarkStart w:id="34" w:name="_Toc533440322"/>
      <w:bookmarkStart w:id="35" w:name="_Toc523481534"/>
      <w:r>
        <w:rPr>
          <w:rFonts w:ascii="Times New Roman" w:hAnsi="Times New Roman" w:eastAsia="仿宋" w:cs="Times New Roman"/>
          <w:b/>
          <w:bCs/>
          <w:sz w:val="32"/>
          <w:szCs w:val="32"/>
        </w:rPr>
        <w:t>二、经济社会效益分析</w:t>
      </w:r>
      <w:bookmarkEnd w:id="31"/>
      <w:bookmarkEnd w:id="32"/>
      <w:bookmarkEnd w:id="33"/>
      <w:bookmarkEnd w:id="34"/>
      <w:bookmarkEnd w:id="35"/>
    </w:p>
    <w:p w14:paraId="0D1C3F40">
      <w:pPr>
        <w:pStyle w:val="4"/>
        <w:spacing w:before="0" w:after="0" w:line="360" w:lineRule="auto"/>
        <w:rPr>
          <w:rFonts w:hint="eastAsia" w:ascii="Times New Roman" w:hAnsi="Times New Roman" w:eastAsia="仿宋" w:cs="Times New Roman"/>
          <w:sz w:val="28"/>
          <w:szCs w:val="28"/>
        </w:rPr>
      </w:pPr>
      <w:bookmarkStart w:id="36" w:name="_Toc1720133"/>
      <w:bookmarkStart w:id="37" w:name="_Toc533440323"/>
      <w:bookmarkStart w:id="38" w:name="_Toc17794"/>
      <w:bookmarkStart w:id="39" w:name="_Toc522211066"/>
      <w:bookmarkStart w:id="40" w:name="_Toc523481535"/>
      <w:r>
        <w:rPr>
          <w:rFonts w:ascii="Times New Roman" w:hAnsi="Times New Roman" w:eastAsia="仿宋" w:cs="Times New Roman"/>
        </w:rPr>
        <w:t>（一）经济效益分析</w:t>
      </w:r>
      <w:bookmarkEnd w:id="36"/>
      <w:bookmarkEnd w:id="37"/>
      <w:bookmarkEnd w:id="38"/>
      <w:bookmarkEnd w:id="39"/>
      <w:bookmarkEnd w:id="40"/>
      <w:bookmarkStart w:id="41" w:name="_Toc523157055"/>
      <w:bookmarkStart w:id="42" w:name="_Toc23271"/>
      <w:bookmarkStart w:id="43" w:name="_Toc1720136"/>
      <w:bookmarkStart w:id="44" w:name="_Toc523481538"/>
      <w:bookmarkStart w:id="45" w:name="_Toc533440326"/>
    </w:p>
    <w:p w14:paraId="66853549">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大英县医疗救治救援中心医疗专项及特殊科室建设项目，位于大英县县城，交通便捷、地理位置优越，具有良好的建设条件。同时项目的建设也符合大英县城市发展战略和大英县卫生事业发展规划。项目资金筹措得力，社会和经济效益显著，为项目顺利实施创造了良好条件，并为大英县医院将来的生存和发展打下了坚实的基础。大英县经济较为发达，医疗保健市场潜力巨大，随着国家医药卫生体制改革的不断深化，各类医疗保险的广覆盖，大英县经济水平的进一步发展，居民健康意识的逐步增强，当地群众对更好的医疗服务需求与医疗资源匮乏的局面急待改善。因此，从中长期看，本项目的经济效益都非常显著。</w:t>
      </w:r>
    </w:p>
    <w:p w14:paraId="78DBC164">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本项目实施的过程中将吸引数百名劳动力投入到工程建设中来，增加了当地施工企业、建材加工业及餐饮服务等行业的就业人数和收入，因而有效地带动区域经济的发展。项目建成后还将直接提供餐饮、服务、清洁环保等相关就业岗位，间接的增加交通运输、商贸餐饮服务等相关行业的从业人员，在一定程度上直接或间接地为本地解决一定数量的就业岗位，将对区域经济的增长及维护社会的稳定起到巨大的作用。</w:t>
      </w:r>
    </w:p>
    <w:p w14:paraId="67DF4403">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大英县的经济发展水平及财力基础对卫生事业的承受能力仍相当弱，本项目的建立有利于推动大英县卫生事业基础设施的建立，也减轻大英县政府的卫生财政支出压力和群众经济压力，一定程度上缓解了政府用于精神卫生事业而占用的大量资源以用于其他公共服务支出，提高大英县的经济发展水平，也促进地方社会经济全面快速发展，提升城市可持续发展能力具有重要作用</w:t>
      </w:r>
      <w:r>
        <w:rPr>
          <w:rFonts w:ascii="Times New Roman" w:hAnsi="Times New Roman" w:eastAsia="仿宋" w:cs="Times New Roman"/>
          <w:sz w:val="28"/>
          <w:szCs w:val="28"/>
        </w:rPr>
        <w:t>。</w:t>
      </w:r>
    </w:p>
    <w:p w14:paraId="7B410FE9">
      <w:pPr>
        <w:pStyle w:val="4"/>
        <w:spacing w:before="0" w:after="0" w:line="360" w:lineRule="auto"/>
        <w:rPr>
          <w:rFonts w:ascii="Times New Roman" w:hAnsi="Times New Roman" w:eastAsia="仿宋" w:cs="Times New Roman"/>
        </w:rPr>
      </w:pPr>
      <w:r>
        <w:rPr>
          <w:rFonts w:ascii="Times New Roman" w:hAnsi="Times New Roman" w:eastAsia="仿宋" w:cs="Times New Roman"/>
        </w:rPr>
        <w:t>（二）社会效益分析</w:t>
      </w:r>
      <w:bookmarkEnd w:id="41"/>
      <w:bookmarkEnd w:id="42"/>
      <w:bookmarkEnd w:id="43"/>
      <w:bookmarkEnd w:id="44"/>
      <w:bookmarkEnd w:id="45"/>
    </w:p>
    <w:p w14:paraId="1B4B33A5">
      <w:pPr>
        <w:spacing w:line="360" w:lineRule="auto"/>
        <w:ind w:firstLine="560" w:firstLineChars="200"/>
        <w:rPr>
          <w:rFonts w:hint="eastAsia" w:ascii="Times New Roman" w:hAnsi="Times New Roman" w:eastAsia="仿宋" w:cs="Times New Roman"/>
          <w:sz w:val="28"/>
          <w:szCs w:val="28"/>
        </w:rPr>
      </w:pPr>
      <w:bookmarkStart w:id="46" w:name="_Toc19320"/>
      <w:r>
        <w:rPr>
          <w:rFonts w:hint="eastAsia" w:ascii="Times New Roman" w:hAnsi="Times New Roman" w:eastAsia="仿宋" w:cs="Times New Roman"/>
          <w:sz w:val="28"/>
          <w:szCs w:val="28"/>
        </w:rPr>
        <w:t>1.保障人民身体健康，提高国民身体素质</w:t>
      </w:r>
    </w:p>
    <w:p w14:paraId="35656D01">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教育、卫生、文化等社会事业是提高人力资源素质的基础性领域，加强这些领域建设，能切实提高国民文化、健康和精神素质。健康是人最宝贵的财富之一，无论是自身的发展、自我价值的实现，还是社会发展的参与和社会发展成果的享有，都必须以身体健康为前提。而发展卫生事业正是人民健康的保障，只有卫生事业发展才能让人们的身体健康才会有保障。</w:t>
      </w:r>
    </w:p>
    <w:p w14:paraId="42C716F5">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2.完善城市公共服务能力和促进卫生事业发展</w:t>
      </w:r>
    </w:p>
    <w:p w14:paraId="0FEB7926">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本项目的建设，可扩大医院规模、完善医院的医疗服务功能、提高医疗保健水平和服务质量，优化当地医疗资源配置，健全医疗卫生服务体系。进一步完善城市公共服务能力，加快城市化建设进程，积极促进地区卫生事业的发展。</w:t>
      </w:r>
    </w:p>
    <w:p w14:paraId="5ACDD422">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项目建设能切实改善大英县医院医疗卫生条件，增强硬件设施，提高医疗装备水平和医院整体医疗能力，符合国家卫生事业"十三五"规划纲要的精神，有力促进了大英县医疗卫生事业的发展，从而解决老百姓看大病难的问题。项目建成后将进一步扩大医院服务范围，更加方便群众就医，对疾病早预防、早诊断和早治疗提供了科学的依据，有利于提高医院的医疗服务水平，有利于改善住院环境和城镇医疗水平的发展。</w:t>
      </w:r>
    </w:p>
    <w:p w14:paraId="1A343652">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3.提升重大疾病的预防、治疗和康复工作水平</w:t>
      </w:r>
    </w:p>
    <w:p w14:paraId="4C11D8B5">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该项目建成后将有效地缓解了区域内医疗服务能力不足的局面，增加城乡居民就医距离上的可及性、就医费用上的有效性、时间上及时性等，能促进区域内群众看病难、看病贵问题的解决，将进一步优化大英县医疗卫生资源配置，提升重大疾病的预防、治疗和康复工作水平，达到更好的满足广大人民群众医疗需求的目的，也提高了人民群众的健康水平，为大英县的康复医疗卫生事业做出了贡献。</w:t>
      </w:r>
    </w:p>
    <w:p w14:paraId="5D198116">
      <w:pPr>
        <w:spacing w:line="360" w:lineRule="auto"/>
        <w:ind w:firstLine="560"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rPr>
        <w:t>本项目建成后，有利于创造就业机会，促进经济和社会可持续协调发展，对提升区域综合实力具有重要的积极作用</w:t>
      </w:r>
      <w:r>
        <w:rPr>
          <w:rFonts w:hint="eastAsia" w:ascii="Times New Roman" w:hAnsi="Times New Roman" w:eastAsia="仿宋" w:cs="Times New Roman"/>
          <w:sz w:val="28"/>
          <w:szCs w:val="28"/>
          <w:lang w:eastAsia="zh-CN"/>
        </w:rPr>
        <w:t>。</w:t>
      </w:r>
    </w:p>
    <w:p w14:paraId="6E3031FA">
      <w:pPr>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三、项目投资估算与资金筹措方案</w:t>
      </w:r>
      <w:bookmarkEnd w:id="46"/>
    </w:p>
    <w:p w14:paraId="49FA31D1">
      <w:pPr>
        <w:pStyle w:val="4"/>
        <w:spacing w:before="0" w:after="0" w:line="360" w:lineRule="auto"/>
        <w:rPr>
          <w:rFonts w:ascii="Times New Roman" w:hAnsi="Times New Roman" w:eastAsia="仿宋" w:cs="Times New Roman"/>
        </w:rPr>
      </w:pPr>
      <w:bookmarkStart w:id="47" w:name="_Toc1720145"/>
      <w:bookmarkStart w:id="48" w:name="_Toc523157062"/>
      <w:bookmarkStart w:id="49" w:name="_Toc5108"/>
      <w:bookmarkStart w:id="50" w:name="_Toc523481542"/>
      <w:bookmarkStart w:id="51" w:name="_Toc522211078"/>
      <w:bookmarkStart w:id="52" w:name="_Toc533440335"/>
      <w:r>
        <w:rPr>
          <w:rFonts w:ascii="Times New Roman" w:hAnsi="Times New Roman" w:eastAsia="仿宋" w:cs="Times New Roman"/>
        </w:rPr>
        <w:t>（一）投资估算</w:t>
      </w:r>
      <w:bookmarkEnd w:id="47"/>
      <w:bookmarkEnd w:id="48"/>
      <w:bookmarkEnd w:id="49"/>
      <w:bookmarkEnd w:id="50"/>
      <w:bookmarkEnd w:id="51"/>
      <w:bookmarkEnd w:id="52"/>
    </w:p>
    <w:p w14:paraId="1E55EB48">
      <w:pPr>
        <w:spacing w:line="360" w:lineRule="auto"/>
        <w:ind w:firstLine="560" w:firstLineChars="200"/>
        <w:rPr>
          <w:rFonts w:ascii="Times New Roman" w:hAnsi="Times New Roman" w:eastAsia="仿宋" w:cs="Times New Roman"/>
          <w:sz w:val="28"/>
          <w:szCs w:val="28"/>
        </w:rPr>
      </w:pPr>
      <w:bookmarkStart w:id="53" w:name="_Toc23109"/>
      <w:r>
        <w:rPr>
          <w:rFonts w:hint="eastAsia" w:ascii="Times New Roman" w:hAnsi="Times New Roman" w:eastAsia="仿宋" w:cs="Times New Roman"/>
          <w:sz w:val="28"/>
          <w:szCs w:val="28"/>
        </w:rPr>
        <w:t>本项目建设动态投资总额为44000万元，静态总投资为41965.00万元，占总投资的95.38%,其中：工程费用36905.00万元，占总投资的83.87%,工程建设其他费用3061.67万元，占总投资的6.96%,预备费1998.33万元，占总投资的4.54%。建设期利息2000.00万元，占总投资的4.55%,债券发行费用35.00万元，占总投资的0.08%。</w:t>
      </w:r>
    </w:p>
    <w:p w14:paraId="612FE027">
      <w:pPr>
        <w:pStyle w:val="4"/>
        <w:spacing w:before="0" w:after="0" w:line="360" w:lineRule="auto"/>
        <w:rPr>
          <w:rFonts w:ascii="Times New Roman" w:hAnsi="Times New Roman" w:eastAsia="仿宋" w:cs="Times New Roman"/>
        </w:rPr>
      </w:pPr>
      <w:r>
        <w:rPr>
          <w:rFonts w:ascii="Times New Roman" w:hAnsi="Times New Roman" w:eastAsia="仿宋" w:cs="Times New Roman"/>
        </w:rPr>
        <w:t>（二）资金筹措方案</w:t>
      </w:r>
      <w:bookmarkEnd w:id="53"/>
    </w:p>
    <w:p w14:paraId="04B71E73">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54" w:name="_Toc1720150"/>
      <w:bookmarkStart w:id="55" w:name="_Toc523481547"/>
      <w:bookmarkStart w:id="56" w:name="_Toc533440340"/>
      <w:bookmarkStart w:id="57" w:name="_Toc20821"/>
      <w:bookmarkStart w:id="58" w:name="_Toc522211083"/>
      <w:bookmarkStart w:id="59" w:name="_Toc19703"/>
      <w:bookmarkStart w:id="60" w:name="_Toc523157067"/>
      <w:r>
        <w:rPr>
          <w:rFonts w:ascii="Times New Roman" w:hAnsi="Times New Roman" w:eastAsia="仿宋" w:cs="Times New Roman"/>
          <w:sz w:val="28"/>
          <w:szCs w:val="28"/>
        </w:rPr>
        <w:t>1.资金来源</w:t>
      </w:r>
      <w:bookmarkEnd w:id="54"/>
      <w:bookmarkEnd w:id="55"/>
      <w:bookmarkEnd w:id="56"/>
      <w:bookmarkEnd w:id="57"/>
      <w:bookmarkEnd w:id="58"/>
      <w:bookmarkEnd w:id="59"/>
      <w:bookmarkEnd w:id="60"/>
    </w:p>
    <w:p w14:paraId="581218FA">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资本金来源：资本金均来源于项目单位自筹，项目资本金9000万元，占项目总投资的20.45%,并纳入年度预算予以拨付。</w:t>
      </w:r>
    </w:p>
    <w:p w14:paraId="08E34C2F">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融资来源：本项目拟发行15年期政府专项债券总额为35000万元，占总投资的79.55%。</w:t>
      </w:r>
    </w:p>
    <w:p w14:paraId="12EE6BB6">
      <w:pPr>
        <w:pStyle w:val="5"/>
        <w:keepLines w:val="0"/>
        <w:spacing w:before="0" w:after="0" w:line="360" w:lineRule="auto"/>
        <w:ind w:firstLine="562" w:firstLineChars="200"/>
        <w:rPr>
          <w:rFonts w:ascii="Times New Roman" w:hAnsi="Times New Roman" w:eastAsia="仿宋" w:cs="Times New Roman"/>
          <w:sz w:val="28"/>
          <w:szCs w:val="28"/>
        </w:rPr>
      </w:pPr>
      <w:bookmarkStart w:id="61" w:name="_Toc1720152"/>
      <w:bookmarkStart w:id="62" w:name="_Toc523481549"/>
      <w:bookmarkStart w:id="63" w:name="_Toc523157069"/>
      <w:bookmarkStart w:id="64" w:name="_Toc533440342"/>
      <w:bookmarkStart w:id="65" w:name="_Toc25776"/>
      <w:r>
        <w:rPr>
          <w:rFonts w:ascii="Times New Roman" w:hAnsi="Times New Roman" w:eastAsia="仿宋" w:cs="Times New Roman"/>
          <w:sz w:val="28"/>
          <w:szCs w:val="28"/>
        </w:rPr>
        <w:t>2.资金使用计划</w:t>
      </w:r>
      <w:bookmarkEnd w:id="61"/>
      <w:bookmarkEnd w:id="62"/>
      <w:bookmarkEnd w:id="63"/>
      <w:bookmarkEnd w:id="64"/>
      <w:bookmarkEnd w:id="65"/>
    </w:p>
    <w:p w14:paraId="5FA6E747">
      <w:pPr>
        <w:spacing w:line="360" w:lineRule="auto"/>
        <w:ind w:firstLine="560" w:firstLineChars="200"/>
        <w:rPr>
          <w:rFonts w:ascii="Times New Roman" w:hAnsi="Times New Roman" w:eastAsia="仿宋" w:cs="Times New Roman"/>
          <w:sz w:val="28"/>
          <w:szCs w:val="28"/>
        </w:rPr>
      </w:pPr>
      <w:bookmarkStart w:id="66" w:name="_Toc9196"/>
      <w:r>
        <w:rPr>
          <w:rFonts w:ascii="Times New Roman" w:hAnsi="Times New Roman" w:eastAsia="仿宋" w:cs="Times New Roman"/>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按照建设进度，总投资计划分3个年度投入。</w:t>
      </w:r>
    </w:p>
    <w:p w14:paraId="2103778C">
      <w:pPr>
        <w:spacing w:before="326"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四、项目预期收益、成本及融资平衡情况</w:t>
      </w:r>
      <w:bookmarkEnd w:id="66"/>
    </w:p>
    <w:p w14:paraId="1D0DE6CA">
      <w:pPr>
        <w:pStyle w:val="4"/>
        <w:spacing w:before="0" w:after="0" w:line="360" w:lineRule="auto"/>
        <w:rPr>
          <w:rFonts w:ascii="Times New Roman" w:hAnsi="Times New Roman" w:eastAsia="仿宋" w:cs="Times New Roman"/>
        </w:rPr>
      </w:pPr>
      <w:bookmarkStart w:id="67" w:name="_Toc522211088"/>
      <w:bookmarkStart w:id="68" w:name="_Toc533440345"/>
      <w:bookmarkStart w:id="69" w:name="_Toc1720155"/>
      <w:bookmarkStart w:id="70" w:name="_Toc523481552"/>
      <w:bookmarkStart w:id="71" w:name="_Toc27170"/>
      <w:bookmarkStart w:id="72" w:name="_Toc523157072"/>
      <w:r>
        <w:rPr>
          <w:rFonts w:ascii="Times New Roman" w:hAnsi="Times New Roman" w:eastAsia="仿宋" w:cs="Times New Roman"/>
        </w:rPr>
        <w:t>（一）预期收益</w:t>
      </w:r>
      <w:bookmarkEnd w:id="67"/>
      <w:bookmarkEnd w:id="68"/>
      <w:bookmarkEnd w:id="69"/>
      <w:bookmarkEnd w:id="70"/>
      <w:bookmarkEnd w:id="71"/>
      <w:bookmarkEnd w:id="72"/>
    </w:p>
    <w:p w14:paraId="395B9E50">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1.项目收入预测</w:t>
      </w:r>
    </w:p>
    <w:p w14:paraId="0AD52F1E">
      <w:pPr>
        <w:spacing w:line="360" w:lineRule="auto"/>
        <w:ind w:firstLine="560" w:firstLineChars="200"/>
        <w:rPr>
          <w:rFonts w:ascii="Times New Roman" w:hAnsi="Times New Roman" w:eastAsia="仿宋" w:cs="Times New Roman"/>
          <w:b/>
          <w:bCs/>
          <w:kern w:val="0"/>
          <w:sz w:val="28"/>
          <w:szCs w:val="28"/>
        </w:rPr>
      </w:pPr>
      <w:r>
        <w:rPr>
          <w:rStyle w:val="18"/>
          <w:rFonts w:cs="Times New Roman"/>
        </w:rPr>
        <w:t>（1）本项目收入来源：</w:t>
      </w:r>
      <w:r>
        <w:rPr>
          <w:rStyle w:val="18"/>
          <w:rFonts w:hint="eastAsia" w:cs="Times New Roman"/>
        </w:rPr>
        <w:t>门</w:t>
      </w:r>
      <w:r>
        <w:rPr>
          <w:rStyle w:val="18"/>
          <w:rFonts w:hint="eastAsia" w:eastAsia="仿宋" w:cs="Times New Roman"/>
          <w:lang w:val="en-US" w:eastAsia="zh-CN"/>
        </w:rPr>
        <w:t>急</w:t>
      </w:r>
      <w:r>
        <w:rPr>
          <w:rStyle w:val="18"/>
          <w:rFonts w:hint="eastAsia" w:cs="Times New Roman"/>
        </w:rPr>
        <w:t>诊收入、住院收入</w:t>
      </w:r>
      <w:r>
        <w:rPr>
          <w:rStyle w:val="18"/>
          <w:rFonts w:cs="Times New Roman"/>
        </w:rPr>
        <w:t>。</w:t>
      </w:r>
      <w:bookmarkStart w:id="73" w:name="_Hlk104366639"/>
      <w:r>
        <w:rPr>
          <w:rStyle w:val="18"/>
          <w:rFonts w:cs="Times New Roman"/>
        </w:rPr>
        <w:t>项目计算期内预计可实现收入共计</w:t>
      </w:r>
      <w:bookmarkEnd w:id="73"/>
      <w:r>
        <w:rPr>
          <w:rStyle w:val="18"/>
          <w:rFonts w:hint="default" w:cs="Times New Roman"/>
          <w:lang w:val="en-US" w:eastAsia="zh-CN"/>
        </w:rPr>
        <w:t>120832.76</w:t>
      </w:r>
      <w:r>
        <w:rPr>
          <w:rStyle w:val="18"/>
          <w:rFonts w:cs="Times New Roman"/>
        </w:rPr>
        <w:t>万元。</w:t>
      </w:r>
    </w:p>
    <w:p w14:paraId="2F7D5363">
      <w:pPr>
        <w:keepNext/>
        <w:spacing w:line="360" w:lineRule="auto"/>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（2）收入主要参考依据：</w:t>
      </w:r>
    </w:p>
    <w:p w14:paraId="75F4CD5C">
      <w:pPr>
        <w:pStyle w:val="14"/>
        <w:ind w:firstLine="560"/>
        <w:rPr>
          <w:rFonts w:cs="Times New Roman"/>
        </w:rPr>
      </w:pPr>
      <w:r>
        <w:rPr>
          <w:rFonts w:hint="eastAsia" w:cs="Times New Roman"/>
        </w:rPr>
        <w:t>《四川卫生健康统计年鉴2020》</w:t>
      </w:r>
      <w:r>
        <w:rPr>
          <w:rFonts w:cs="Times New Roman"/>
        </w:rPr>
        <w:t>；</w:t>
      </w:r>
    </w:p>
    <w:p w14:paraId="0000E414">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2.成本预测</w:t>
      </w:r>
    </w:p>
    <w:p w14:paraId="3D3A8E62">
      <w:pPr>
        <w:spacing w:line="360" w:lineRule="auto"/>
        <w:ind w:firstLine="560" w:firstLineChars="200"/>
        <w:rPr>
          <w:rFonts w:ascii="Times New Roman" w:hAnsi="Times New Roman" w:eastAsia="仿宋" w:cs="Times New Roman"/>
          <w:sz w:val="28"/>
          <w:szCs w:val="28"/>
        </w:rPr>
      </w:pPr>
      <w:bookmarkStart w:id="74" w:name="_Toc373"/>
      <w:r>
        <w:rPr>
          <w:rFonts w:ascii="Times New Roman" w:hAnsi="Times New Roman" w:eastAsia="仿宋" w:cs="Times New Roman"/>
          <w:sz w:val="28"/>
          <w:szCs w:val="28"/>
        </w:rPr>
        <w:t>本项目成本包经营成本、固定资产折旧费、财务费用以。项目计算期内预计产生总成本费用共计</w:t>
      </w:r>
      <w:r>
        <w:rPr>
          <w:rFonts w:hint="default" w:ascii="Times New Roman" w:hAnsi="Times New Roman" w:eastAsia="仿宋" w:cs="Times New Roman"/>
          <w:sz w:val="28"/>
          <w:szCs w:val="28"/>
          <w:lang w:val="en-US" w:eastAsia="zh-CN"/>
        </w:rPr>
        <w:t>86040.58</w:t>
      </w:r>
      <w:r>
        <w:rPr>
          <w:rFonts w:ascii="Times New Roman" w:hAnsi="Times New Roman" w:eastAsia="仿宋" w:cs="Times New Roman"/>
          <w:sz w:val="28"/>
          <w:szCs w:val="28"/>
        </w:rPr>
        <w:t>万元。</w:t>
      </w:r>
    </w:p>
    <w:p w14:paraId="0A752B82">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3.项目损益</w:t>
      </w:r>
      <w:bookmarkEnd w:id="74"/>
    </w:p>
    <w:p w14:paraId="4C12DCB0">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综合上述专项收入、经营成本费用的估算，本项目在债券存续期内运营总收入预计为</w:t>
      </w:r>
      <w:r>
        <w:rPr>
          <w:rStyle w:val="18"/>
          <w:rFonts w:hint="default" w:cs="Times New Roman"/>
          <w:lang w:val="en-US" w:eastAsia="zh-CN"/>
        </w:rPr>
        <w:t>120832.76</w:t>
      </w:r>
      <w:r>
        <w:rPr>
          <w:rFonts w:hint="eastAsia" w:ascii="Times New Roman" w:hAnsi="Times New Roman" w:eastAsia="仿宋" w:cs="Times New Roman"/>
          <w:sz w:val="28"/>
          <w:szCs w:val="28"/>
        </w:rPr>
        <w:t>万元，总成本预计为</w:t>
      </w:r>
      <w:r>
        <w:rPr>
          <w:rFonts w:hint="default" w:ascii="Times New Roman" w:hAnsi="Times New Roman" w:eastAsia="仿宋" w:cs="Times New Roman"/>
          <w:sz w:val="28"/>
          <w:szCs w:val="28"/>
          <w:lang w:val="en-US" w:eastAsia="zh-CN"/>
        </w:rPr>
        <w:t>86040.58</w:t>
      </w:r>
      <w:r>
        <w:rPr>
          <w:rFonts w:hint="eastAsia" w:ascii="Times New Roman" w:hAnsi="Times New Roman" w:eastAsia="仿宋" w:cs="Times New Roman"/>
          <w:sz w:val="28"/>
          <w:szCs w:val="28"/>
        </w:rPr>
        <w:t>万元，累计净利润为</w:t>
      </w:r>
      <w:r>
        <w:rPr>
          <w:rFonts w:hint="eastAsia" w:ascii="Times New Roman" w:hAnsi="Times New Roman" w:eastAsia="仿宋" w:cs="Times New Roman"/>
          <w:sz w:val="28"/>
          <w:szCs w:val="28"/>
          <w:lang w:val="en-US" w:eastAsia="zh-CN"/>
        </w:rPr>
        <w:t>34792</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18</w:t>
      </w:r>
      <w:r>
        <w:rPr>
          <w:rFonts w:hint="eastAsia" w:ascii="Times New Roman" w:hAnsi="Times New Roman" w:eastAsia="仿宋" w:cs="Times New Roman"/>
          <w:sz w:val="28"/>
          <w:szCs w:val="28"/>
        </w:rPr>
        <w:t>万元，息前净现金流量累计72396.64万元</w:t>
      </w:r>
      <w:r>
        <w:rPr>
          <w:rFonts w:ascii="Times New Roman" w:hAnsi="Times New Roman" w:eastAsia="仿宋" w:cs="Times New Roman"/>
          <w:sz w:val="28"/>
          <w:szCs w:val="28"/>
        </w:rPr>
        <w:t>。</w:t>
      </w:r>
    </w:p>
    <w:p w14:paraId="0AA92A33">
      <w:pPr>
        <w:pStyle w:val="4"/>
        <w:spacing w:before="0" w:after="0" w:line="360" w:lineRule="auto"/>
        <w:rPr>
          <w:rFonts w:ascii="Times New Roman" w:hAnsi="Times New Roman" w:eastAsia="仿宋" w:cs="Times New Roman"/>
        </w:rPr>
      </w:pPr>
      <w:r>
        <w:rPr>
          <w:rFonts w:ascii="Times New Roman" w:hAnsi="Times New Roman" w:eastAsia="仿宋" w:cs="Times New Roman"/>
        </w:rPr>
        <w:t>（二）资金测算平衡情况</w:t>
      </w:r>
    </w:p>
    <w:p w14:paraId="16C4AD56">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75" w:name="_Toc18760766"/>
      <w:bookmarkStart w:id="76" w:name="_Toc1381"/>
      <w:bookmarkStart w:id="77" w:name="_Toc24256"/>
      <w:bookmarkStart w:id="78" w:name="_Toc20333"/>
      <w:r>
        <w:rPr>
          <w:rFonts w:ascii="Times New Roman" w:hAnsi="Times New Roman" w:eastAsia="仿宋" w:cs="Times New Roman"/>
          <w:sz w:val="28"/>
          <w:szCs w:val="28"/>
        </w:rPr>
        <w:t>1.项目还本付息计划</w:t>
      </w:r>
      <w:bookmarkEnd w:id="75"/>
      <w:bookmarkEnd w:id="76"/>
      <w:bookmarkEnd w:id="77"/>
      <w:bookmarkEnd w:id="78"/>
    </w:p>
    <w:p w14:paraId="6A99EC73">
      <w:pPr>
        <w:spacing w:line="360" w:lineRule="auto"/>
        <w:ind w:firstLine="560" w:firstLineChars="200"/>
        <w:rPr>
          <w:rFonts w:ascii="Times New Roman" w:hAnsi="Times New Roman" w:eastAsia="仿宋" w:cs="Times New Roman"/>
          <w:bCs/>
          <w:color w:val="000000"/>
          <w:sz w:val="28"/>
          <w:szCs w:val="28"/>
        </w:rPr>
      </w:pPr>
      <w:bookmarkStart w:id="79" w:name="_Toc13883"/>
      <w:bookmarkStart w:id="80" w:name="_Toc18760767"/>
      <w:bookmarkStart w:id="81" w:name="_Toc12782"/>
      <w:bookmarkStart w:id="82" w:name="_Toc15443"/>
      <w:r>
        <w:rPr>
          <w:rFonts w:hint="eastAsia" w:ascii="Times New Roman" w:hAnsi="Times New Roman" w:eastAsia="仿宋" w:cs="Times New Roman"/>
          <w:bCs/>
          <w:color w:val="000000"/>
          <w:sz w:val="28"/>
          <w:szCs w:val="28"/>
        </w:rPr>
        <w:t xml:space="preserve">本项目发行债券需支付的利息，按照 </w:t>
      </w:r>
      <w:r>
        <w:rPr>
          <w:rFonts w:hint="eastAsia" w:ascii="Times New Roman" w:hAnsi="Times New Roman" w:eastAsia="仿宋" w:cs="Times New Roman"/>
          <w:bCs/>
          <w:color w:val="000000"/>
          <w:sz w:val="28"/>
          <w:szCs w:val="28"/>
          <w:lang w:val="en-US" w:eastAsia="zh-CN"/>
        </w:rPr>
        <w:t>4</w:t>
      </w:r>
      <w:r>
        <w:rPr>
          <w:rFonts w:hint="eastAsia" w:ascii="Times New Roman" w:hAnsi="Times New Roman" w:eastAsia="仿宋" w:cs="Times New Roman"/>
          <w:bCs/>
          <w:color w:val="000000"/>
          <w:sz w:val="28"/>
          <w:szCs w:val="28"/>
        </w:rPr>
        <w:t>.</w:t>
      </w:r>
      <w:r>
        <w:rPr>
          <w:rFonts w:hint="eastAsia" w:ascii="Times New Roman" w:hAnsi="Times New Roman" w:eastAsia="仿宋" w:cs="Times New Roman"/>
          <w:bCs/>
          <w:color w:val="000000"/>
          <w:sz w:val="28"/>
          <w:szCs w:val="28"/>
          <w:lang w:val="en-US" w:eastAsia="zh-CN"/>
        </w:rPr>
        <w:t>0</w:t>
      </w:r>
      <w:r>
        <w:rPr>
          <w:rFonts w:hint="eastAsia" w:ascii="Times New Roman" w:hAnsi="Times New Roman" w:eastAsia="仿宋" w:cs="Times New Roman"/>
          <w:bCs/>
          <w:color w:val="000000"/>
          <w:sz w:val="28"/>
          <w:szCs w:val="28"/>
        </w:rPr>
        <w:t>0%利率计算，每期债券发行期限为</w:t>
      </w:r>
      <w:r>
        <w:rPr>
          <w:rFonts w:hint="eastAsia" w:ascii="Times New Roman" w:hAnsi="Times New Roman" w:eastAsia="仿宋" w:cs="Times New Roman"/>
          <w:bCs/>
          <w:color w:val="000000"/>
          <w:sz w:val="28"/>
          <w:szCs w:val="28"/>
          <w:lang w:val="en-US" w:eastAsia="zh-CN"/>
        </w:rPr>
        <w:t>15</w:t>
      </w:r>
      <w:r>
        <w:rPr>
          <w:rFonts w:hint="eastAsia" w:ascii="Times New Roman" w:hAnsi="Times New Roman" w:eastAsia="仿宋" w:cs="Times New Roman"/>
          <w:bCs/>
          <w:color w:val="000000"/>
          <w:sz w:val="28"/>
          <w:szCs w:val="28"/>
        </w:rPr>
        <w:t>年，每半年付息一次，债券发行期最后一年偿还本金。债券存续期内累计需支付利息</w:t>
      </w:r>
      <w:r>
        <w:rPr>
          <w:rFonts w:hint="eastAsia" w:ascii="Times New Roman" w:hAnsi="Times New Roman" w:eastAsia="仿宋" w:cs="Times New Roman"/>
          <w:bCs/>
          <w:color w:val="000000"/>
          <w:sz w:val="28"/>
          <w:szCs w:val="28"/>
          <w:lang w:val="en-US" w:eastAsia="zh-CN"/>
        </w:rPr>
        <w:t>21000.00</w:t>
      </w:r>
      <w:r>
        <w:rPr>
          <w:rFonts w:hint="eastAsia" w:ascii="Times New Roman" w:hAnsi="Times New Roman" w:eastAsia="仿宋" w:cs="Times New Roman"/>
          <w:bCs/>
          <w:color w:val="000000"/>
          <w:sz w:val="28"/>
          <w:szCs w:val="28"/>
        </w:rPr>
        <w:t>万元，其中：专项债券建设期利息计</w:t>
      </w:r>
      <w:r>
        <w:rPr>
          <w:rFonts w:hint="eastAsia" w:ascii="Times New Roman" w:hAnsi="Times New Roman" w:eastAsia="仿宋" w:cs="Times New Roman"/>
          <w:bCs/>
          <w:color w:val="000000"/>
          <w:sz w:val="28"/>
          <w:szCs w:val="28"/>
          <w:lang w:val="en-US" w:eastAsia="zh-CN"/>
        </w:rPr>
        <w:t>2000.00</w:t>
      </w:r>
      <w:r>
        <w:rPr>
          <w:rFonts w:hint="eastAsia" w:ascii="Times New Roman" w:hAnsi="Times New Roman" w:eastAsia="仿宋" w:cs="Times New Roman"/>
          <w:bCs/>
          <w:color w:val="000000"/>
          <w:sz w:val="28"/>
          <w:szCs w:val="28"/>
        </w:rPr>
        <w:t>万元计入建设成本，专项债券在运营期间产生的利息费用</w:t>
      </w:r>
      <w:r>
        <w:rPr>
          <w:rFonts w:hint="eastAsia" w:ascii="Times New Roman" w:hAnsi="Times New Roman" w:eastAsia="仿宋" w:cs="Times New Roman"/>
          <w:bCs/>
          <w:color w:val="000000"/>
          <w:sz w:val="28"/>
          <w:szCs w:val="28"/>
          <w:lang w:val="en-US" w:eastAsia="zh-CN"/>
        </w:rPr>
        <w:t>19000.00</w:t>
      </w:r>
      <w:r>
        <w:rPr>
          <w:rFonts w:hint="eastAsia" w:ascii="Times New Roman" w:hAnsi="Times New Roman" w:eastAsia="仿宋" w:cs="Times New Roman"/>
          <w:bCs/>
          <w:color w:val="000000"/>
          <w:sz w:val="28"/>
          <w:szCs w:val="28"/>
        </w:rPr>
        <w:t>万元。</w:t>
      </w:r>
    </w:p>
    <w:p w14:paraId="2E10D9EF">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2.项目资金平衡情况</w:t>
      </w:r>
      <w:bookmarkEnd w:id="79"/>
      <w:bookmarkEnd w:id="80"/>
      <w:bookmarkEnd w:id="81"/>
      <w:bookmarkEnd w:id="82"/>
    </w:p>
    <w:p w14:paraId="3734B1CB">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若项目在满足上述资金筹集计划、项目实施计划、资金使用计划及预期收益的假设前提下，政府专项债到期日累计资金结余18396.64万元，项目在预测期内可实现息前净现金流72396.64万元，政府专项债券到期本息合计56000.00万元，本项目息前净现金流/政府专项债本息的收益覆盖倍数为1.29倍。期间不存在资金缺口。</w:t>
      </w:r>
    </w:p>
    <w:p w14:paraId="4F20E82F">
      <w:pPr>
        <w:spacing w:line="360" w:lineRule="auto"/>
        <w:ind w:firstLine="560" w:firstLineChars="200"/>
        <w:rPr>
          <w:rFonts w:ascii="Times New Roman" w:hAnsi="Times New Roman" w:eastAsia="仿宋" w:cs="Times New Roman"/>
          <w:sz w:val="28"/>
          <w:szCs w:val="28"/>
        </w:rPr>
        <w:sectPr>
          <w:headerReference r:id="rId3" w:type="default"/>
          <w:footerReference r:id="rId4" w:type="default"/>
          <w:type w:val="continuous"/>
          <w:pgSz w:w="11906" w:h="16838"/>
          <w:pgMar w:top="1440" w:right="1800" w:bottom="1440" w:left="1800" w:header="851" w:footer="992" w:gutter="0"/>
          <w:cols w:space="425" w:num="1"/>
          <w:docGrid w:type="lines" w:linePitch="326" w:charSpace="0"/>
        </w:sectPr>
      </w:pPr>
      <w:r>
        <w:rPr>
          <w:rFonts w:ascii="Times New Roman" w:hAnsi="Times New Roman" w:eastAsia="仿宋" w:cs="Times New Roman"/>
          <w:sz w:val="28"/>
          <w:szCs w:val="28"/>
        </w:rPr>
        <w:t>资金测算平衡情况具体见表下表所示：</w:t>
      </w:r>
    </w:p>
    <w:p w14:paraId="32E364A6">
      <w:pPr>
        <w:pStyle w:val="2"/>
        <w:spacing w:before="0" w:after="0" w:line="360" w:lineRule="auto"/>
        <w:ind w:firstLine="562"/>
        <w:jc w:val="center"/>
        <w:rPr>
          <w:rFonts w:ascii="Times New Roman" w:hAnsi="Times New Roman" w:eastAsia="仿宋" w:cs="Times New Roman"/>
          <w:b/>
          <w:bCs/>
          <w:sz w:val="28"/>
          <w:szCs w:val="28"/>
          <w:lang w:val="en-US"/>
        </w:rPr>
      </w:pPr>
      <w:r>
        <w:rPr>
          <w:rFonts w:ascii="Times New Roman" w:hAnsi="Times New Roman" w:eastAsia="仿宋" w:cs="Times New Roman"/>
          <w:b/>
          <w:bCs/>
          <w:sz w:val="28"/>
          <w:szCs w:val="28"/>
          <w:lang w:val="en-US"/>
        </w:rPr>
        <w:t>资金平衡测算表（总表）（单位：万元）</w:t>
      </w:r>
    </w:p>
    <w:p w14:paraId="742BFBDA">
      <w:pPr>
        <w:pStyle w:val="2"/>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rPr>
          <w:rFonts w:ascii="Times New Roman" w:hAnsi="Times New Roman" w:eastAsia="仿宋" w:cs="Times New Roman"/>
          <w:b/>
          <w:bCs/>
          <w:sz w:val="28"/>
          <w:szCs w:val="28"/>
          <w:lang w:val="en-US"/>
        </w:rPr>
      </w:pPr>
      <w:r>
        <w:drawing>
          <wp:inline distT="0" distB="0" distL="114300" distR="114300">
            <wp:extent cx="8398510" cy="4505325"/>
            <wp:effectExtent l="0" t="0" r="8890" b="1587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8398510" cy="4505325"/>
                    </a:xfrm>
                    <a:prstGeom prst="rect">
                      <a:avLst/>
                    </a:prstGeom>
                    <a:noFill/>
                    <a:ln>
                      <a:noFill/>
                    </a:ln>
                  </pic:spPr>
                </pic:pic>
              </a:graphicData>
            </a:graphic>
          </wp:inline>
        </w:drawing>
      </w:r>
    </w:p>
    <w:p w14:paraId="5669E017">
      <w:pPr>
        <w:pStyle w:val="2"/>
        <w:spacing w:before="0" w:after="0" w:line="360" w:lineRule="auto"/>
        <w:ind w:firstLine="562"/>
        <w:jc w:val="center"/>
        <w:rPr>
          <w:rFonts w:ascii="Times New Roman" w:hAnsi="Times New Roman" w:eastAsia="仿宋" w:cs="Times New Roman"/>
          <w:b/>
          <w:bCs/>
          <w:sz w:val="28"/>
          <w:szCs w:val="28"/>
          <w:lang w:val="en-US"/>
        </w:rPr>
      </w:pPr>
      <w:r>
        <w:rPr>
          <w:rFonts w:ascii="Times New Roman" w:hAnsi="Times New Roman" w:eastAsia="仿宋" w:cs="Times New Roman"/>
          <w:b/>
          <w:bCs/>
          <w:sz w:val="28"/>
          <w:szCs w:val="28"/>
          <w:lang w:val="en-US"/>
        </w:rPr>
        <w:br w:type="page"/>
      </w:r>
    </w:p>
    <w:p w14:paraId="096F57B3">
      <w:pPr>
        <w:pStyle w:val="2"/>
        <w:spacing w:before="0" w:after="0" w:line="360" w:lineRule="auto"/>
        <w:ind w:firstLine="562"/>
        <w:jc w:val="center"/>
        <w:rPr>
          <w:rFonts w:ascii="Times New Roman" w:hAnsi="Times New Roman" w:eastAsia="仿宋" w:cs="Times New Roman"/>
        </w:rPr>
      </w:pPr>
      <w:r>
        <w:rPr>
          <w:rFonts w:hint="eastAsia" w:ascii="Times New Roman" w:hAnsi="Times New Roman" w:eastAsia="仿宋" w:cs="Times New Roman"/>
          <w:b/>
          <w:bCs/>
          <w:sz w:val="28"/>
          <w:szCs w:val="28"/>
          <w:lang w:val="en-US"/>
        </w:rPr>
        <w:t>续前表-资金平衡测算表</w:t>
      </w:r>
      <w:r>
        <w:rPr>
          <w:rFonts w:ascii="Times New Roman" w:hAnsi="Times New Roman" w:eastAsia="仿宋" w:cs="Times New Roman"/>
          <w:b/>
          <w:bCs/>
          <w:sz w:val="28"/>
          <w:szCs w:val="28"/>
          <w:lang w:val="en-US"/>
        </w:rPr>
        <w:t>（单位：万元）</w:t>
      </w:r>
    </w:p>
    <w:p w14:paraId="6EA4C1F8">
      <w:pPr>
        <w:tabs>
          <w:tab w:val="left" w:pos="8554"/>
        </w:tabs>
        <w:bidi w:val="0"/>
        <w:jc w:val="left"/>
        <w:rPr>
          <w:rFonts w:hint="eastAsia" w:eastAsiaTheme="minorEastAsia"/>
          <w:lang w:eastAsia="zh-CN"/>
        </w:rPr>
        <w:sectPr>
          <w:headerReference r:id="rId5" w:type="default"/>
          <w:type w:val="continuous"/>
          <w:pgSz w:w="16838" w:h="11906" w:orient="landscape"/>
          <w:pgMar w:top="1440" w:right="1800" w:bottom="1440" w:left="1800" w:header="851" w:footer="992" w:gutter="0"/>
          <w:cols w:space="720" w:num="1"/>
          <w:docGrid w:type="lines" w:linePitch="381" w:charSpace="0"/>
        </w:sectPr>
      </w:pPr>
      <w:r>
        <w:drawing>
          <wp:inline distT="0" distB="0" distL="114300" distR="114300">
            <wp:extent cx="8398510" cy="4753610"/>
            <wp:effectExtent l="0" t="0" r="8890" b="2159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8398510" cy="4753610"/>
                    </a:xfrm>
                    <a:prstGeom prst="rect">
                      <a:avLst/>
                    </a:prstGeom>
                    <a:noFill/>
                    <a:ln>
                      <a:noFill/>
                    </a:ln>
                  </pic:spPr>
                </pic:pic>
              </a:graphicData>
            </a:graphic>
          </wp:inline>
        </w:drawing>
      </w:r>
    </w:p>
    <w:p w14:paraId="5F7A89E6">
      <w:pPr>
        <w:spacing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五、项目绩效目标</w:t>
      </w:r>
    </w:p>
    <w:p w14:paraId="7B0915A4">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1、项目总体建设目标</w:t>
      </w:r>
    </w:p>
    <w:p w14:paraId="481EDF33">
      <w:pPr>
        <w:pStyle w:val="14"/>
        <w:ind w:firstLine="560"/>
        <w:rPr>
          <w:rFonts w:hint="eastAsia" w:cs="Times New Roman"/>
        </w:rPr>
      </w:pPr>
      <w:r>
        <w:rPr>
          <w:rFonts w:hint="eastAsia" w:cs="Times New Roman"/>
        </w:rPr>
        <w:t>目标1:完成立项内容涉及的12500平方米的特殊科室装修工程、建设9项医疗专项工程。</w:t>
      </w:r>
    </w:p>
    <w:p w14:paraId="329E9740">
      <w:pPr>
        <w:pStyle w:val="14"/>
        <w:ind w:firstLine="560"/>
        <w:rPr>
          <w:rFonts w:hint="eastAsia" w:cs="Times New Roman"/>
        </w:rPr>
      </w:pPr>
      <w:r>
        <w:rPr>
          <w:rFonts w:hint="eastAsia" w:cs="Times New Roman"/>
        </w:rPr>
        <w:t>目标2:完成配套医疗系统升级、医疗设备采购等。</w:t>
      </w:r>
    </w:p>
    <w:p w14:paraId="79B5D629">
      <w:pPr>
        <w:pStyle w:val="14"/>
        <w:ind w:firstLine="560"/>
        <w:rPr>
          <w:rFonts w:hint="eastAsia" w:cs="Times New Roman"/>
        </w:rPr>
      </w:pPr>
      <w:r>
        <w:rPr>
          <w:rFonts w:hint="eastAsia" w:cs="Times New Roman"/>
        </w:rPr>
        <w:t>目标</w:t>
      </w:r>
      <w:r>
        <w:rPr>
          <w:rFonts w:hint="eastAsia" w:cs="Times New Roman"/>
          <w:lang w:val="en-US" w:eastAsia="zh-CN"/>
        </w:rPr>
        <w:t>3</w:t>
      </w:r>
      <w:r>
        <w:rPr>
          <w:rFonts w:hint="eastAsia" w:cs="Times New Roman"/>
        </w:rPr>
        <w:t>:债券存续期内实现年度收支平衡和总体收支平衡。</w:t>
      </w:r>
    </w:p>
    <w:p w14:paraId="6F99D076">
      <w:pPr>
        <w:pStyle w:val="14"/>
        <w:ind w:firstLine="560"/>
        <w:rPr>
          <w:rFonts w:cs="Times New Roman"/>
        </w:rPr>
      </w:pPr>
      <w:r>
        <w:rPr>
          <w:rFonts w:hint="eastAsia" w:cs="Times New Roman"/>
        </w:rPr>
        <w:t>目标</w:t>
      </w:r>
      <w:r>
        <w:rPr>
          <w:rFonts w:hint="eastAsia" w:cs="Times New Roman"/>
          <w:lang w:val="en-US" w:eastAsia="zh-CN"/>
        </w:rPr>
        <w:t>4</w:t>
      </w:r>
      <w:r>
        <w:rPr>
          <w:rFonts w:hint="eastAsia" w:cs="Times New Roman"/>
        </w:rPr>
        <w:t>:提升医疗保障能力，促进医疗事业发展。</w:t>
      </w:r>
    </w:p>
    <w:p w14:paraId="7ADF3F71">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2、202</w:t>
      </w:r>
      <w:r>
        <w:rPr>
          <w:rFonts w:hint="eastAsia" w:ascii="Times New Roman" w:hAnsi="Times New Roman" w:eastAsia="仿宋" w:cs="Times New Roman"/>
          <w:sz w:val="28"/>
          <w:szCs w:val="28"/>
          <w:lang w:val="en-US" w:eastAsia="zh-CN"/>
        </w:rPr>
        <w:t>5</w:t>
      </w:r>
      <w:r>
        <w:rPr>
          <w:rFonts w:ascii="Times New Roman" w:hAnsi="Times New Roman" w:eastAsia="仿宋" w:cs="Times New Roman"/>
          <w:sz w:val="28"/>
          <w:szCs w:val="28"/>
        </w:rPr>
        <w:t>年度目标</w:t>
      </w:r>
    </w:p>
    <w:p w14:paraId="2277EE03">
      <w:pPr>
        <w:pStyle w:val="14"/>
        <w:ind w:firstLine="560"/>
        <w:rPr>
          <w:rFonts w:hint="eastAsia" w:cs="Times New Roman"/>
        </w:rPr>
      </w:pPr>
      <w:r>
        <w:rPr>
          <w:rFonts w:hint="eastAsia" w:cs="Times New Roman"/>
        </w:rPr>
        <w:t>目标1:完成</w:t>
      </w:r>
      <w:r>
        <w:rPr>
          <w:rFonts w:hint="eastAsia" w:cs="Times New Roman"/>
          <w:lang w:val="en-US" w:eastAsia="zh-CN"/>
        </w:rPr>
        <w:t>剩余</w:t>
      </w:r>
      <w:r>
        <w:rPr>
          <w:rFonts w:hint="eastAsia" w:cs="Times New Roman"/>
        </w:rPr>
        <w:t>特殊科室工程</w:t>
      </w:r>
    </w:p>
    <w:p w14:paraId="0FBFCE1C">
      <w:pPr>
        <w:pStyle w:val="14"/>
        <w:ind w:firstLine="560"/>
        <w:rPr>
          <w:rFonts w:cs="Times New Roman"/>
        </w:rPr>
      </w:pPr>
      <w:r>
        <w:rPr>
          <w:rFonts w:hint="eastAsia" w:cs="Times New Roman"/>
        </w:rPr>
        <w:t>目标</w:t>
      </w:r>
      <w:r>
        <w:rPr>
          <w:rFonts w:hint="eastAsia" w:cs="Times New Roman"/>
          <w:lang w:val="en-US" w:eastAsia="zh-CN"/>
        </w:rPr>
        <w:t>2</w:t>
      </w:r>
      <w:r>
        <w:rPr>
          <w:rFonts w:hint="eastAsia" w:cs="Times New Roman"/>
        </w:rPr>
        <w:t>:完成分部工程阶段验收工作。</w:t>
      </w:r>
    </w:p>
    <w:p w14:paraId="6DA1A920">
      <w:pPr>
        <w:pStyle w:val="14"/>
        <w:ind w:firstLine="560"/>
        <w:rPr>
          <w:rFonts w:cs="Times New Roman"/>
        </w:rPr>
      </w:pPr>
      <w:r>
        <w:rPr>
          <w:rFonts w:hint="eastAsia" w:cs="Times New Roman"/>
        </w:rPr>
        <w:t>目标</w:t>
      </w:r>
      <w:r>
        <w:rPr>
          <w:rFonts w:hint="eastAsia" w:cs="Times New Roman"/>
          <w:lang w:val="en-US" w:eastAsia="zh-CN"/>
        </w:rPr>
        <w:t>3</w:t>
      </w:r>
      <w:r>
        <w:rPr>
          <w:rFonts w:hint="eastAsia" w:cs="Times New Roman"/>
        </w:rPr>
        <w:t>：债券存续期内实现年度收支平衡和总体收支平衡</w:t>
      </w:r>
      <w:r>
        <w:rPr>
          <w:rFonts w:cs="Times New Roman"/>
        </w:rPr>
        <w:t>。</w:t>
      </w:r>
    </w:p>
    <w:p w14:paraId="6DE22F67">
      <w:pPr>
        <w:pStyle w:val="14"/>
        <w:ind w:firstLine="562"/>
        <w:rPr>
          <w:rFonts w:cs="Times New Roman"/>
          <w:b/>
        </w:rPr>
      </w:pPr>
      <w:r>
        <w:rPr>
          <w:rFonts w:cs="Times New Roman"/>
          <w:b/>
        </w:rPr>
        <w:t>3、质量指标</w:t>
      </w:r>
    </w:p>
    <w:p w14:paraId="19416926">
      <w:pPr>
        <w:pStyle w:val="14"/>
        <w:ind w:firstLine="560"/>
        <w:rPr>
          <w:rFonts w:cs="Times New Roman"/>
        </w:rPr>
      </w:pPr>
      <w:r>
        <w:rPr>
          <w:rFonts w:cs="Times New Roman"/>
        </w:rPr>
        <w:t>指标1：验收合格率≥95%；</w:t>
      </w:r>
    </w:p>
    <w:p w14:paraId="7D6B8B7A">
      <w:pPr>
        <w:pStyle w:val="14"/>
        <w:ind w:firstLine="560"/>
        <w:rPr>
          <w:rFonts w:cs="Times New Roman"/>
        </w:rPr>
      </w:pPr>
      <w:r>
        <w:rPr>
          <w:rFonts w:cs="Times New Roman"/>
        </w:rPr>
        <w:t>指标2：项目设计方案变更率≤5%。</w:t>
      </w:r>
    </w:p>
    <w:p w14:paraId="21D2BBC3">
      <w:pPr>
        <w:pStyle w:val="14"/>
        <w:ind w:firstLine="562"/>
        <w:rPr>
          <w:rFonts w:cs="Times New Roman"/>
          <w:b/>
        </w:rPr>
      </w:pPr>
      <w:r>
        <w:rPr>
          <w:rFonts w:cs="Times New Roman"/>
          <w:b/>
        </w:rPr>
        <w:t>4、经济效益指标</w:t>
      </w:r>
    </w:p>
    <w:p w14:paraId="2C79E5CF">
      <w:pPr>
        <w:pStyle w:val="14"/>
        <w:ind w:firstLine="560"/>
        <w:rPr>
          <w:rFonts w:cs="Times New Roman"/>
        </w:rPr>
      </w:pPr>
      <w:r>
        <w:rPr>
          <w:rFonts w:cs="Times New Roman"/>
        </w:rPr>
        <w:t>指标1：项目总收入</w:t>
      </w:r>
      <w:r>
        <w:rPr>
          <w:rFonts w:hint="eastAsia" w:cs="Times New Roman"/>
        </w:rPr>
        <w:t>≥</w:t>
      </w:r>
      <w:r>
        <w:rPr>
          <w:rFonts w:hint="eastAsia" w:cs="Times New Roman"/>
          <w:lang w:val="en-US" w:eastAsia="zh-CN"/>
        </w:rPr>
        <w:t>120832.76</w:t>
      </w:r>
      <w:r>
        <w:rPr>
          <w:rFonts w:hint="eastAsia" w:cs="Times New Roman"/>
        </w:rPr>
        <w:t>万元</w:t>
      </w:r>
      <w:r>
        <w:rPr>
          <w:rFonts w:cs="Times New Roman"/>
        </w:rPr>
        <w:t>；</w:t>
      </w:r>
    </w:p>
    <w:p w14:paraId="5B71F1FE">
      <w:pPr>
        <w:pStyle w:val="14"/>
        <w:ind w:firstLine="560"/>
        <w:rPr>
          <w:rFonts w:cs="Times New Roman"/>
        </w:rPr>
      </w:pPr>
      <w:r>
        <w:rPr>
          <w:rFonts w:cs="Times New Roman"/>
        </w:rPr>
        <w:t>指标2：</w:t>
      </w:r>
      <w:r>
        <w:rPr>
          <w:rFonts w:hint="eastAsia" w:cs="Times New Roman"/>
        </w:rPr>
        <w:t>拉动投资≥</w:t>
      </w:r>
      <w:r>
        <w:rPr>
          <w:rFonts w:cs="Times New Roman"/>
        </w:rPr>
        <w:t>22000.00万元。</w:t>
      </w:r>
    </w:p>
    <w:p w14:paraId="3D5D752A">
      <w:pPr>
        <w:pStyle w:val="14"/>
        <w:keepNext/>
        <w:ind w:firstLine="562"/>
        <w:rPr>
          <w:rFonts w:cs="Times New Roman"/>
          <w:b/>
        </w:rPr>
      </w:pPr>
      <w:r>
        <w:rPr>
          <w:rFonts w:cs="Times New Roman"/>
          <w:b/>
        </w:rPr>
        <w:t>5、社会效益指标</w:t>
      </w:r>
    </w:p>
    <w:p w14:paraId="4564A892">
      <w:pPr>
        <w:pStyle w:val="14"/>
        <w:ind w:firstLine="560"/>
        <w:rPr>
          <w:rFonts w:cs="Times New Roman"/>
        </w:rPr>
      </w:pPr>
      <w:r>
        <w:rPr>
          <w:rFonts w:hint="eastAsia" w:cs="Times New Roman"/>
        </w:rPr>
        <w:t>指标1：完善医院配套设施</w:t>
      </w:r>
      <w:r>
        <w:rPr>
          <w:rFonts w:cs="Times New Roman"/>
        </w:rPr>
        <w:t>--达成预期目；</w:t>
      </w:r>
    </w:p>
    <w:p w14:paraId="41A3BA7D">
      <w:pPr>
        <w:pStyle w:val="14"/>
        <w:ind w:firstLine="560"/>
        <w:rPr>
          <w:rFonts w:cs="Times New Roman"/>
        </w:rPr>
      </w:pPr>
      <w:r>
        <w:rPr>
          <w:rFonts w:hint="eastAsia" w:cs="Times New Roman"/>
        </w:rPr>
        <w:t>指标2：提供就业岗位</w:t>
      </w:r>
      <w:r>
        <w:rPr>
          <w:rFonts w:cs="Times New Roman"/>
        </w:rPr>
        <w:t>≥50人。</w:t>
      </w:r>
    </w:p>
    <w:p w14:paraId="413611E5">
      <w:pPr>
        <w:pStyle w:val="14"/>
        <w:ind w:firstLine="562"/>
        <w:rPr>
          <w:rFonts w:cs="Times New Roman"/>
          <w:b/>
        </w:rPr>
      </w:pPr>
      <w:r>
        <w:rPr>
          <w:rFonts w:cs="Times New Roman"/>
          <w:b/>
        </w:rPr>
        <w:t>6、生态效益指标</w:t>
      </w:r>
    </w:p>
    <w:p w14:paraId="525958C7">
      <w:pPr>
        <w:pStyle w:val="14"/>
        <w:ind w:firstLine="560"/>
        <w:rPr>
          <w:rFonts w:cs="Times New Roman"/>
        </w:rPr>
      </w:pPr>
      <w:r>
        <w:rPr>
          <w:rFonts w:cs="Times New Roman"/>
        </w:rPr>
        <w:t>指标1：水电能源节约率≥95%；</w:t>
      </w:r>
    </w:p>
    <w:p w14:paraId="48AFBB49">
      <w:pPr>
        <w:pStyle w:val="14"/>
        <w:ind w:firstLine="560"/>
        <w:rPr>
          <w:rFonts w:cs="Times New Roman"/>
        </w:rPr>
      </w:pPr>
      <w:r>
        <w:rPr>
          <w:rFonts w:cs="Times New Roman"/>
        </w:rPr>
        <w:t>指标2：生态环境改善--达成预期目。</w:t>
      </w:r>
    </w:p>
    <w:p w14:paraId="18B0B610">
      <w:pPr>
        <w:pStyle w:val="14"/>
        <w:ind w:firstLine="562"/>
        <w:rPr>
          <w:rFonts w:cs="Times New Roman"/>
          <w:b/>
        </w:rPr>
      </w:pPr>
      <w:r>
        <w:rPr>
          <w:rFonts w:cs="Times New Roman"/>
          <w:b/>
        </w:rPr>
        <w:t>7、可持续影响指标</w:t>
      </w:r>
    </w:p>
    <w:p w14:paraId="4E4555C9">
      <w:pPr>
        <w:pStyle w:val="14"/>
        <w:ind w:firstLine="560"/>
        <w:rPr>
          <w:rFonts w:cs="Times New Roman"/>
        </w:rPr>
      </w:pPr>
      <w:r>
        <w:rPr>
          <w:rFonts w:cs="Times New Roman"/>
        </w:rPr>
        <w:t>指标1：运营期限</w:t>
      </w:r>
      <w:r>
        <w:rPr>
          <w:rFonts w:hint="eastAsia" w:ascii="宋体" w:hAnsi="宋体" w:eastAsia="宋体" w:cs="宋体"/>
        </w:rPr>
        <w:t>≧</w:t>
      </w:r>
      <w:r>
        <w:rPr>
          <w:rFonts w:hint="eastAsia" w:ascii="宋体" w:hAnsi="宋体" w:eastAsia="宋体" w:cs="宋体"/>
          <w:lang w:val="en-US" w:eastAsia="zh-CN"/>
        </w:rPr>
        <w:t>16</w:t>
      </w:r>
      <w:r>
        <w:rPr>
          <w:rFonts w:cs="Times New Roman"/>
        </w:rPr>
        <w:t>年；</w:t>
      </w:r>
    </w:p>
    <w:p w14:paraId="54F8CEEB">
      <w:pPr>
        <w:pStyle w:val="14"/>
        <w:ind w:firstLine="560"/>
        <w:rPr>
          <w:rFonts w:cs="Times New Roman"/>
        </w:rPr>
      </w:pPr>
      <w:r>
        <w:rPr>
          <w:rFonts w:cs="Times New Roman"/>
        </w:rPr>
        <w:t>指标2：推动区域全面协调发展--达成预期目标。</w:t>
      </w:r>
    </w:p>
    <w:p w14:paraId="6826F179">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六、潜在影响项目的风险评估</w:t>
      </w:r>
    </w:p>
    <w:p w14:paraId="390AA292">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83" w:name="_Toc522211123"/>
      <w:bookmarkStart w:id="84" w:name="_Toc15343"/>
      <w:r>
        <w:rPr>
          <w:rFonts w:ascii="Times New Roman" w:hAnsi="Times New Roman" w:eastAsia="仿宋" w:cs="Times New Roman"/>
          <w:sz w:val="28"/>
          <w:szCs w:val="28"/>
        </w:rPr>
        <w:t>1.经营风险</w:t>
      </w:r>
      <w:bookmarkEnd w:id="83"/>
      <w:bookmarkEnd w:id="84"/>
    </w:p>
    <w:p w14:paraId="680B9F4A">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风险识别：经营风险是指生产经营的不确定性带来的风险。若项目投入运营后的收入未能达到预测值，将影响项目整体收益，对债券还本付息产生影响。</w:t>
      </w:r>
    </w:p>
    <w:p w14:paraId="20EADB70">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风险控制措施：要求项目管理单位密切关注各项收入支撑情况，根据实际情况调整收入策略，保证还本付息资金。</w:t>
      </w:r>
      <w:bookmarkStart w:id="85" w:name="_Toc522211124"/>
      <w:bookmarkStart w:id="86" w:name="_Toc4440"/>
    </w:p>
    <w:p w14:paraId="6CF10D55">
      <w:pPr>
        <w:pStyle w:val="5"/>
        <w:keepNext w:val="0"/>
        <w:keepLines w:val="0"/>
        <w:spacing w:before="0" w:after="0" w:line="360" w:lineRule="auto"/>
        <w:ind w:firstLine="562" w:firstLineChars="200"/>
        <w:rPr>
          <w:rFonts w:ascii="Times New Roman" w:hAnsi="Times New Roman" w:eastAsia="仿宋" w:cs="Times New Roman"/>
          <w:sz w:val="28"/>
          <w:szCs w:val="28"/>
        </w:rPr>
      </w:pPr>
      <w:r>
        <w:rPr>
          <w:rFonts w:ascii="Times New Roman" w:hAnsi="Times New Roman" w:eastAsia="仿宋" w:cs="Times New Roman"/>
          <w:sz w:val="28"/>
          <w:szCs w:val="28"/>
        </w:rPr>
        <w:t>2.市场风险</w:t>
      </w:r>
      <w:bookmarkEnd w:id="85"/>
      <w:bookmarkEnd w:id="86"/>
    </w:p>
    <w:p w14:paraId="7699782D">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78A451C0">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风险控制措施：要求项目单位合理安排债券发行金额和债券期限，做好债券的期限配比、还款计划和资金准备。</w:t>
      </w:r>
    </w:p>
    <w:p w14:paraId="52E1393F">
      <w:pPr>
        <w:pStyle w:val="5"/>
        <w:keepNext w:val="0"/>
        <w:keepLines w:val="0"/>
        <w:spacing w:before="0" w:after="0" w:line="360" w:lineRule="auto"/>
        <w:ind w:firstLine="562" w:firstLineChars="200"/>
        <w:rPr>
          <w:rFonts w:ascii="Times New Roman" w:hAnsi="Times New Roman" w:eastAsia="仿宋" w:cs="Times New Roman"/>
          <w:sz w:val="28"/>
          <w:szCs w:val="28"/>
        </w:rPr>
      </w:pPr>
      <w:bookmarkStart w:id="87" w:name="_Toc522211125"/>
      <w:bookmarkStart w:id="88" w:name="_Toc15747"/>
      <w:r>
        <w:rPr>
          <w:rFonts w:ascii="Times New Roman" w:hAnsi="Times New Roman" w:eastAsia="仿宋" w:cs="Times New Roman"/>
          <w:sz w:val="28"/>
          <w:szCs w:val="28"/>
        </w:rPr>
        <w:t>3.财务风险</w:t>
      </w:r>
      <w:bookmarkEnd w:id="87"/>
      <w:bookmarkEnd w:id="88"/>
    </w:p>
    <w:p w14:paraId="255E0187">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226D5124">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风险控制措施：项目可行性研究报告编制过程中，在测算项目总投资时已考虑相关风险。同时，在项目建设过程中，加强项目施工预算管理、招标及合同管理，尽可能控制建设成本。</w:t>
      </w:r>
    </w:p>
    <w:p w14:paraId="56CE954A">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七、还款保障情况</w:t>
      </w:r>
    </w:p>
    <w:p w14:paraId="4E420F19">
      <w:pPr>
        <w:spacing w:line="360" w:lineRule="auto"/>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574A1C67">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八、</w:t>
      </w:r>
      <w:r>
        <w:rPr>
          <w:rFonts w:hint="eastAsia" w:ascii="Times New Roman" w:hAnsi="Times New Roman" w:eastAsia="仿宋" w:cs="Times New Roman"/>
          <w:b/>
          <w:bCs/>
          <w:sz w:val="32"/>
          <w:szCs w:val="32"/>
        </w:rPr>
        <w:t>主管部门和项目单位职责</w:t>
      </w:r>
    </w:p>
    <w:p w14:paraId="3A39630E">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1.项目主管部门：大英县卫生健康局</w:t>
      </w:r>
    </w:p>
    <w:p w14:paraId="4699DFBC">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主要职责包括：严格按照基本建设程序建设项目，监督施工方严格按照施工规范施工，确保项目施工安全、项目建设质量、项目工期，切实加强项目建设、运营管理，确保项目收益覆盖债券本息。</w:t>
      </w:r>
    </w:p>
    <w:p w14:paraId="182917D3">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2.项目资金主管部门：大英县财政局</w:t>
      </w:r>
    </w:p>
    <w:p w14:paraId="7B83BC09">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主要职责包括：（1）配合落实项目配套财政资金、专项债券资金；（2）监督项目资金的实际使用情况及对本期债券本息的按期偿付情况。</w:t>
      </w:r>
    </w:p>
    <w:p w14:paraId="07D1A2EE">
      <w:pPr>
        <w:spacing w:line="360" w:lineRule="auto"/>
        <w:ind w:firstLine="560"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rPr>
        <w:t>3.项目业主单位：</w:t>
      </w:r>
      <w:r>
        <w:rPr>
          <w:rFonts w:hint="eastAsia" w:ascii="Times New Roman" w:hAnsi="Times New Roman" w:eastAsia="仿宋" w:cs="Times New Roman"/>
          <w:sz w:val="28"/>
          <w:szCs w:val="28"/>
          <w:lang w:eastAsia="zh-CN"/>
        </w:rPr>
        <w:t>大英县人民医院</w:t>
      </w:r>
    </w:p>
    <w:p w14:paraId="4F5C251E">
      <w:pPr>
        <w:spacing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主要职责包括：（1）根据项目实施计划开展相关工作；（2）保证项目资金的使用与项目实施进度相匹配；（3）定期向行业主管部门、实施机构及项目资金主管部门汇报项目实施进度及项目资金使用情况。</w:t>
      </w:r>
    </w:p>
    <w:p w14:paraId="1D08C3D2">
      <w:pPr>
        <w:spacing w:before="312" w:beforeLines="100" w:line="360" w:lineRule="auto"/>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九、补充说明</w:t>
      </w:r>
    </w:p>
    <w:p w14:paraId="744D138C">
      <w:pPr>
        <w:spacing w:line="360" w:lineRule="auto"/>
        <w:ind w:firstLine="560" w:firstLineChars="200"/>
        <w:rPr>
          <w:rFonts w:ascii="Times New Roman" w:hAnsi="Times New Roman" w:eastAsia="仿宋" w:cs="Times New Roman"/>
          <w:sz w:val="32"/>
          <w:szCs w:val="32"/>
        </w:rPr>
      </w:pPr>
      <w:r>
        <w:rPr>
          <w:rFonts w:hint="eastAsia" w:ascii="Times New Roman" w:hAnsi="Times New Roman" w:eastAsia="仿宋" w:cs="Times New Roman"/>
          <w:sz w:val="28"/>
          <w:szCs w:val="28"/>
        </w:rPr>
        <w:t>本项目债券资金总需求为 35000.00 万元，根据地方政府债务限额管</w:t>
      </w:r>
      <w:bookmarkStart w:id="89" w:name="_GoBack"/>
      <w:r>
        <w:rPr>
          <w:rFonts w:hint="eastAsia" w:ascii="Times New Roman" w:hAnsi="Times New Roman" w:eastAsia="仿宋" w:cs="Times New Roman"/>
          <w:sz w:val="28"/>
          <w:szCs w:val="28"/>
        </w:rPr>
        <w:t xml:space="preserve">理要求和项目实施进展情况，本项目累计已发行 </w:t>
      </w:r>
      <w:r>
        <w:rPr>
          <w:rFonts w:hint="eastAsia" w:ascii="Times New Roman" w:hAnsi="Times New Roman" w:eastAsia="仿宋" w:cs="Times New Roman"/>
          <w:sz w:val="28"/>
          <w:szCs w:val="28"/>
          <w:lang w:val="en-US" w:eastAsia="zh-CN"/>
        </w:rPr>
        <w:t>29009.00</w:t>
      </w:r>
      <w:r>
        <w:rPr>
          <w:rFonts w:hint="eastAsia" w:ascii="Times New Roman" w:hAnsi="Times New Roman" w:eastAsia="仿宋" w:cs="Times New Roman"/>
          <w:sz w:val="28"/>
          <w:szCs w:val="28"/>
        </w:rPr>
        <w:t xml:space="preserve">万元。本次拟继续发行 </w:t>
      </w:r>
      <w:r>
        <w:rPr>
          <w:rFonts w:hint="eastAsia" w:ascii="Times New Roman" w:hAnsi="Times New Roman" w:eastAsia="仿宋" w:cs="Times New Roman"/>
          <w:sz w:val="28"/>
          <w:szCs w:val="28"/>
          <w:lang w:val="en-US" w:eastAsia="zh-CN"/>
        </w:rPr>
        <w:t>5520.00</w:t>
      </w:r>
      <w:r>
        <w:rPr>
          <w:rFonts w:hint="eastAsia" w:ascii="Times New Roman" w:hAnsi="Times New Roman" w:eastAsia="仿宋" w:cs="Times New Roman"/>
          <w:sz w:val="28"/>
          <w:szCs w:val="28"/>
        </w:rPr>
        <w:t>万元，期限 15 年。该项目实施内容及收益来源未发生变动，在不超过项目债券总需求情况下，本次债券发行对项目整体融资平衡不构成实质影响。</w:t>
      </w:r>
      <w:bookmarkEnd w:id="89"/>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楷体">
    <w:altName w:val="楷体_GB2312"/>
    <w:panose1 w:val="02010600040101010101"/>
    <w:charset w:val="86"/>
    <w:family w:val="auto"/>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Univers 45 Light">
    <w:altName w:val="RomanS"/>
    <w:panose1 w:val="00000000000000000000"/>
    <w:charset w:val="00"/>
    <w:family w:val="swiss"/>
    <w:pitch w:val="default"/>
    <w:sig w:usb0="00000000" w:usb1="00000000" w:usb2="00000000" w:usb3="00000000" w:csb0="00000001" w:csb1="00000000"/>
  </w:font>
  <w:font w:name="RomanS">
    <w:panose1 w:val="02000400000000000000"/>
    <w:charset w:val="00"/>
    <w:family w:val="auto"/>
    <w:pitch w:val="default"/>
    <w:sig w:usb0="00000207" w:usb1="00000000" w:usb2="00000000"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
      <w:docPartObj>
        <w:docPartGallery w:val="autotext"/>
      </w:docPartObj>
    </w:sdtPr>
    <w:sdtEndPr>
      <w:rPr>
        <w:rFonts w:ascii="Times New Roman" w:hAnsi="Times New Roman" w:cs="Times New Roman"/>
      </w:rPr>
    </w:sdtEndPr>
    <w:sdtContent>
      <w:p w14:paraId="23AB218C">
        <w:pPr>
          <w:pStyle w:val="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2B5A3DF1">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11274">
    <w:pPr>
      <w:pStyle w:val="9"/>
      <w:pBdr>
        <w:bottom w:val="none" w:color="auto" w:sz="0" w:space="0"/>
      </w:pBdr>
      <w:tabs>
        <w:tab w:val="center" w:pos="4150"/>
        <w:tab w:val="right" w:pos="8300"/>
        <w:tab w:val="clear" w:pos="4153"/>
        <w:tab w:val="clear" w:pos="8306"/>
      </w:tabs>
    </w:pPr>
  </w:p>
  <w:p w14:paraId="446DF9FB">
    <w:pP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F17E6">
    <w:pPr>
      <w:pStyle w:val="9"/>
      <w:pBdr>
        <w:bottom w:val="none" w:color="auto" w:sz="0" w:space="1"/>
      </w:pBdr>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E192B"/>
    <w:multiLevelType w:val="singleLevel"/>
    <w:tmpl w:val="1F7E192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1ZDI3YjNjYmFmNmY4MjMyZTkwZmEzMmJmODYyMGUifQ=="/>
  </w:docVars>
  <w:rsids>
    <w:rsidRoot w:val="3FA016BB"/>
    <w:rsid w:val="000114C2"/>
    <w:rsid w:val="00044301"/>
    <w:rsid w:val="000C245E"/>
    <w:rsid w:val="000F7897"/>
    <w:rsid w:val="00124450"/>
    <w:rsid w:val="00182D5F"/>
    <w:rsid w:val="001D34AD"/>
    <w:rsid w:val="001E0FAD"/>
    <w:rsid w:val="00216C56"/>
    <w:rsid w:val="00245985"/>
    <w:rsid w:val="002B7608"/>
    <w:rsid w:val="002E5159"/>
    <w:rsid w:val="002E5284"/>
    <w:rsid w:val="003E3DD2"/>
    <w:rsid w:val="00412E05"/>
    <w:rsid w:val="00457034"/>
    <w:rsid w:val="00467789"/>
    <w:rsid w:val="00483936"/>
    <w:rsid w:val="004E0F82"/>
    <w:rsid w:val="00515236"/>
    <w:rsid w:val="00534568"/>
    <w:rsid w:val="00575342"/>
    <w:rsid w:val="005B6525"/>
    <w:rsid w:val="005C2704"/>
    <w:rsid w:val="00626397"/>
    <w:rsid w:val="006448C7"/>
    <w:rsid w:val="00687DFD"/>
    <w:rsid w:val="00694574"/>
    <w:rsid w:val="00711929"/>
    <w:rsid w:val="0073204E"/>
    <w:rsid w:val="008029AC"/>
    <w:rsid w:val="008253B2"/>
    <w:rsid w:val="008541A0"/>
    <w:rsid w:val="008A7100"/>
    <w:rsid w:val="009203CF"/>
    <w:rsid w:val="0094442D"/>
    <w:rsid w:val="009730B2"/>
    <w:rsid w:val="00A570CB"/>
    <w:rsid w:val="00AE6B92"/>
    <w:rsid w:val="00B43416"/>
    <w:rsid w:val="00B501A8"/>
    <w:rsid w:val="00B87286"/>
    <w:rsid w:val="00BF7BAD"/>
    <w:rsid w:val="00C62501"/>
    <w:rsid w:val="00D47D9A"/>
    <w:rsid w:val="00DA0981"/>
    <w:rsid w:val="00DB57C6"/>
    <w:rsid w:val="00DF0A94"/>
    <w:rsid w:val="00E15413"/>
    <w:rsid w:val="00E2683E"/>
    <w:rsid w:val="00E32F0F"/>
    <w:rsid w:val="00E457C2"/>
    <w:rsid w:val="00E72C1B"/>
    <w:rsid w:val="00EB3F40"/>
    <w:rsid w:val="00EE2EB8"/>
    <w:rsid w:val="00F07EF2"/>
    <w:rsid w:val="00F353CB"/>
    <w:rsid w:val="00F5208A"/>
    <w:rsid w:val="00F83267"/>
    <w:rsid w:val="016478F4"/>
    <w:rsid w:val="04126C86"/>
    <w:rsid w:val="089B260D"/>
    <w:rsid w:val="09550CC1"/>
    <w:rsid w:val="097E66C1"/>
    <w:rsid w:val="0D03664E"/>
    <w:rsid w:val="0F776A5D"/>
    <w:rsid w:val="0F7FA2FB"/>
    <w:rsid w:val="0FF6F377"/>
    <w:rsid w:val="16BE3AB0"/>
    <w:rsid w:val="17E458DD"/>
    <w:rsid w:val="17FD769C"/>
    <w:rsid w:val="1825554A"/>
    <w:rsid w:val="19524380"/>
    <w:rsid w:val="195B607F"/>
    <w:rsid w:val="1BD48DF6"/>
    <w:rsid w:val="1BDF3AC0"/>
    <w:rsid w:val="1BF5D619"/>
    <w:rsid w:val="1BFF49FB"/>
    <w:rsid w:val="1F7252E7"/>
    <w:rsid w:val="1FCE4B67"/>
    <w:rsid w:val="1FF56987"/>
    <w:rsid w:val="1FF7ED5F"/>
    <w:rsid w:val="21997D01"/>
    <w:rsid w:val="221819BC"/>
    <w:rsid w:val="26B7057C"/>
    <w:rsid w:val="2B7EC322"/>
    <w:rsid w:val="303FA988"/>
    <w:rsid w:val="31BF8083"/>
    <w:rsid w:val="3317B0CC"/>
    <w:rsid w:val="33D12EA8"/>
    <w:rsid w:val="35FFD790"/>
    <w:rsid w:val="375548D2"/>
    <w:rsid w:val="37AFF5BC"/>
    <w:rsid w:val="37DFCA7E"/>
    <w:rsid w:val="37F7915C"/>
    <w:rsid w:val="37F96470"/>
    <w:rsid w:val="39BF521A"/>
    <w:rsid w:val="3ADDCE1A"/>
    <w:rsid w:val="3AFF51C8"/>
    <w:rsid w:val="3BEFC43B"/>
    <w:rsid w:val="3CE62AF4"/>
    <w:rsid w:val="3E35E35A"/>
    <w:rsid w:val="3FA016BB"/>
    <w:rsid w:val="3FBF3121"/>
    <w:rsid w:val="3FE947AA"/>
    <w:rsid w:val="3FF7F064"/>
    <w:rsid w:val="42E85458"/>
    <w:rsid w:val="45F33215"/>
    <w:rsid w:val="46585B96"/>
    <w:rsid w:val="46F6483F"/>
    <w:rsid w:val="46FD49EC"/>
    <w:rsid w:val="46FF7BD5"/>
    <w:rsid w:val="48F7C36C"/>
    <w:rsid w:val="4BDC3C9F"/>
    <w:rsid w:val="4D9F7B9D"/>
    <w:rsid w:val="4EF748CC"/>
    <w:rsid w:val="4F6FF726"/>
    <w:rsid w:val="4FFB0623"/>
    <w:rsid w:val="52900446"/>
    <w:rsid w:val="52BF0897"/>
    <w:rsid w:val="54FD80F8"/>
    <w:rsid w:val="56AC797B"/>
    <w:rsid w:val="57FBF1DE"/>
    <w:rsid w:val="58F62362"/>
    <w:rsid w:val="5BFFF7F5"/>
    <w:rsid w:val="5CB2AB50"/>
    <w:rsid w:val="5DEF17A5"/>
    <w:rsid w:val="5E810CD8"/>
    <w:rsid w:val="5EFEC238"/>
    <w:rsid w:val="5F2FAA90"/>
    <w:rsid w:val="5F3F5561"/>
    <w:rsid w:val="5FBFDA03"/>
    <w:rsid w:val="64E45C27"/>
    <w:rsid w:val="651C2EE6"/>
    <w:rsid w:val="657E3C7D"/>
    <w:rsid w:val="667A754C"/>
    <w:rsid w:val="667F8640"/>
    <w:rsid w:val="66E41076"/>
    <w:rsid w:val="673FD7CD"/>
    <w:rsid w:val="679A19BD"/>
    <w:rsid w:val="67BEFF25"/>
    <w:rsid w:val="68496314"/>
    <w:rsid w:val="6AEB7832"/>
    <w:rsid w:val="6B2E643B"/>
    <w:rsid w:val="6B766395"/>
    <w:rsid w:val="6BF7A5AE"/>
    <w:rsid w:val="6CFFB4C5"/>
    <w:rsid w:val="6DE73283"/>
    <w:rsid w:val="6DEF8EE1"/>
    <w:rsid w:val="6DF69A63"/>
    <w:rsid w:val="6DFE8F0B"/>
    <w:rsid w:val="6E7A4315"/>
    <w:rsid w:val="6EBBC425"/>
    <w:rsid w:val="6F7E73C3"/>
    <w:rsid w:val="6FFD2837"/>
    <w:rsid w:val="6FFF3287"/>
    <w:rsid w:val="6FFFA356"/>
    <w:rsid w:val="70CBCBD2"/>
    <w:rsid w:val="716442CB"/>
    <w:rsid w:val="718860E6"/>
    <w:rsid w:val="72A65155"/>
    <w:rsid w:val="7359253E"/>
    <w:rsid w:val="735D0DF1"/>
    <w:rsid w:val="73E2FED9"/>
    <w:rsid w:val="73FE34C8"/>
    <w:rsid w:val="74F7F38A"/>
    <w:rsid w:val="75FA06CC"/>
    <w:rsid w:val="75FB6697"/>
    <w:rsid w:val="77090774"/>
    <w:rsid w:val="776E0807"/>
    <w:rsid w:val="779E99C9"/>
    <w:rsid w:val="77AAAD63"/>
    <w:rsid w:val="77BF8A62"/>
    <w:rsid w:val="77FBD978"/>
    <w:rsid w:val="79BE6D5B"/>
    <w:rsid w:val="7A8D9CA2"/>
    <w:rsid w:val="7B3682FF"/>
    <w:rsid w:val="7BF342A7"/>
    <w:rsid w:val="7BFD0ECC"/>
    <w:rsid w:val="7BFF5867"/>
    <w:rsid w:val="7C5DD4AA"/>
    <w:rsid w:val="7CE9DFCE"/>
    <w:rsid w:val="7D2F13F0"/>
    <w:rsid w:val="7D3D7990"/>
    <w:rsid w:val="7D8D1F68"/>
    <w:rsid w:val="7DFB765B"/>
    <w:rsid w:val="7E73D504"/>
    <w:rsid w:val="7E9C0E44"/>
    <w:rsid w:val="7E9FE33B"/>
    <w:rsid w:val="7F9719DE"/>
    <w:rsid w:val="7FAF53E6"/>
    <w:rsid w:val="7FBD11D4"/>
    <w:rsid w:val="7FDB07CC"/>
    <w:rsid w:val="7FEB5BAF"/>
    <w:rsid w:val="7FF3CD8B"/>
    <w:rsid w:val="7FF436B6"/>
    <w:rsid w:val="7FF92DFA"/>
    <w:rsid w:val="7FFBF4F1"/>
    <w:rsid w:val="7FFF5FFF"/>
    <w:rsid w:val="7FFFCA63"/>
    <w:rsid w:val="87FA3628"/>
    <w:rsid w:val="88FDC072"/>
    <w:rsid w:val="89FF1691"/>
    <w:rsid w:val="92FFB674"/>
    <w:rsid w:val="95A1F4AD"/>
    <w:rsid w:val="97BE3B2F"/>
    <w:rsid w:val="9BDC7CB2"/>
    <w:rsid w:val="9FEDC7E9"/>
    <w:rsid w:val="9FF4B181"/>
    <w:rsid w:val="A7FEBD53"/>
    <w:rsid w:val="A7FFACC0"/>
    <w:rsid w:val="A7FFF43C"/>
    <w:rsid w:val="ADFE1633"/>
    <w:rsid w:val="AEFB1E98"/>
    <w:rsid w:val="AEFE99AE"/>
    <w:rsid w:val="AF6FE52F"/>
    <w:rsid w:val="AF7FE0C9"/>
    <w:rsid w:val="B3BFAA93"/>
    <w:rsid w:val="B5DF92D0"/>
    <w:rsid w:val="B5EF1236"/>
    <w:rsid w:val="BBCD3B04"/>
    <w:rsid w:val="BBFE79E9"/>
    <w:rsid w:val="BE7D6B2E"/>
    <w:rsid w:val="BEFF5793"/>
    <w:rsid w:val="BFBDF094"/>
    <w:rsid w:val="BFCFB234"/>
    <w:rsid w:val="BFE15019"/>
    <w:rsid w:val="BFF7F503"/>
    <w:rsid w:val="CDBF8E51"/>
    <w:rsid w:val="CE3E0596"/>
    <w:rsid w:val="D535A50C"/>
    <w:rsid w:val="D65F608D"/>
    <w:rsid w:val="D6FE2F3B"/>
    <w:rsid w:val="D7FE7F2E"/>
    <w:rsid w:val="DAF570AD"/>
    <w:rsid w:val="DBE36489"/>
    <w:rsid w:val="DD29B7D0"/>
    <w:rsid w:val="DEED3319"/>
    <w:rsid w:val="DF7D6F09"/>
    <w:rsid w:val="DFFF7708"/>
    <w:rsid w:val="E56B286E"/>
    <w:rsid w:val="E5BD68F5"/>
    <w:rsid w:val="E5FF377C"/>
    <w:rsid w:val="E9AD0E93"/>
    <w:rsid w:val="EB754920"/>
    <w:rsid w:val="EBB5E8D4"/>
    <w:rsid w:val="EBB78C6E"/>
    <w:rsid w:val="EDDCAA7B"/>
    <w:rsid w:val="EE3767BE"/>
    <w:rsid w:val="EFFFD587"/>
    <w:rsid w:val="F1DF0791"/>
    <w:rsid w:val="F1FF821E"/>
    <w:rsid w:val="F2F57A89"/>
    <w:rsid w:val="F3E7058A"/>
    <w:rsid w:val="F4BEC7E6"/>
    <w:rsid w:val="F4F7ED56"/>
    <w:rsid w:val="F6BB608C"/>
    <w:rsid w:val="F77DF23A"/>
    <w:rsid w:val="F7A34735"/>
    <w:rsid w:val="F7F5C57A"/>
    <w:rsid w:val="F7FFE145"/>
    <w:rsid w:val="F8E68D35"/>
    <w:rsid w:val="FABA1B6C"/>
    <w:rsid w:val="FBB202C1"/>
    <w:rsid w:val="FBF6E609"/>
    <w:rsid w:val="FBF9937C"/>
    <w:rsid w:val="FD4FF0BC"/>
    <w:rsid w:val="FDBA9F71"/>
    <w:rsid w:val="FDEDE40C"/>
    <w:rsid w:val="FDF516E4"/>
    <w:rsid w:val="FDFE2E49"/>
    <w:rsid w:val="FEB6919F"/>
    <w:rsid w:val="FEBF3328"/>
    <w:rsid w:val="FEDF6BDB"/>
    <w:rsid w:val="FEFB0809"/>
    <w:rsid w:val="FEFF775D"/>
    <w:rsid w:val="FF9FDDB2"/>
    <w:rsid w:val="FFB7AB36"/>
    <w:rsid w:val="FFBE2547"/>
    <w:rsid w:val="FFEB68CA"/>
    <w:rsid w:val="FFF3354B"/>
    <w:rsid w:val="FFF63ACA"/>
    <w:rsid w:val="FFFF8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link w:val="1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0"/>
    <w:qFormat/>
    <w:uiPriority w:val="99"/>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3">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7">
    <w:name w:val="Block Text"/>
    <w:basedOn w:val="1"/>
    <w:qFormat/>
    <w:uiPriority w:val="99"/>
    <w:pPr>
      <w:spacing w:line="300" w:lineRule="exact"/>
      <w:ind w:left="-105" w:leftChars="-50" w:right="-105" w:rightChars="-50"/>
      <w:jc w:val="center"/>
    </w:pPr>
    <w:rPr>
      <w:rFonts w:ascii="宋体" w:hAnsi="宋体" w:eastAsia="仿宋" w:cs="仿宋"/>
      <w:sz w:val="18"/>
      <w:szCs w:val="20"/>
    </w:rPr>
  </w:style>
  <w:style w:type="paragraph" w:styleId="8">
    <w:name w:val="footer"/>
    <w:basedOn w:val="1"/>
    <w:link w:val="21"/>
    <w:unhideWhenUsed/>
    <w:qFormat/>
    <w:uiPriority w:val="99"/>
    <w:pPr>
      <w:tabs>
        <w:tab w:val="center" w:pos="4153"/>
        <w:tab w:val="right" w:pos="8306"/>
      </w:tabs>
      <w:snapToGrid w:val="0"/>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Strong"/>
    <w:basedOn w:val="11"/>
    <w:qFormat/>
    <w:uiPriority w:val="0"/>
    <w:rPr>
      <w:b/>
    </w:rPr>
  </w:style>
  <w:style w:type="character" w:styleId="13">
    <w:name w:val="Emphasis"/>
    <w:basedOn w:val="11"/>
    <w:qFormat/>
    <w:uiPriority w:val="20"/>
    <w:rPr>
      <w:i/>
    </w:rPr>
  </w:style>
  <w:style w:type="paragraph" w:customStyle="1" w:styleId="14">
    <w:name w:val="样式8"/>
    <w:basedOn w:val="1"/>
    <w:link w:val="18"/>
    <w:qFormat/>
    <w:uiPriority w:val="0"/>
    <w:pPr>
      <w:spacing w:line="360" w:lineRule="auto"/>
      <w:ind w:firstLine="720" w:firstLineChars="200"/>
    </w:pPr>
    <w:rPr>
      <w:rFonts w:ascii="Times New Roman" w:hAnsi="Times New Roman" w:eastAsia="仿宋"/>
      <w:sz w:val="28"/>
    </w:rPr>
  </w:style>
  <w:style w:type="paragraph" w:customStyle="1" w:styleId="15">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16">
    <w:name w:val="font21"/>
    <w:basedOn w:val="11"/>
    <w:qFormat/>
    <w:uiPriority w:val="0"/>
    <w:rPr>
      <w:rFonts w:hint="default" w:ascii="Times New Roman" w:hAnsi="Times New Roman" w:cs="Times New Roman"/>
      <w:color w:val="000000"/>
      <w:sz w:val="28"/>
      <w:szCs w:val="28"/>
      <w:u w:val="none"/>
    </w:rPr>
  </w:style>
  <w:style w:type="character" w:customStyle="1" w:styleId="17">
    <w:name w:val="font31"/>
    <w:basedOn w:val="11"/>
    <w:qFormat/>
    <w:uiPriority w:val="0"/>
    <w:rPr>
      <w:rFonts w:hint="eastAsia" w:ascii="宋体" w:hAnsi="宋体" w:eastAsia="宋体" w:cs="宋体"/>
      <w:color w:val="000000"/>
      <w:sz w:val="20"/>
      <w:szCs w:val="20"/>
      <w:u w:val="none"/>
    </w:rPr>
  </w:style>
  <w:style w:type="character" w:customStyle="1" w:styleId="18">
    <w:name w:val="样式8 Char1"/>
    <w:link w:val="14"/>
    <w:qFormat/>
    <w:uiPriority w:val="0"/>
    <w:rPr>
      <w:rFonts w:ascii="Times New Roman" w:hAnsi="Times New Roman" w:eastAsia="仿宋"/>
      <w:sz w:val="28"/>
      <w:szCs w:val="24"/>
    </w:rPr>
  </w:style>
  <w:style w:type="character" w:customStyle="1" w:styleId="19">
    <w:name w:val="标题 2 字符"/>
    <w:basedOn w:val="11"/>
    <w:link w:val="4"/>
    <w:qFormat/>
    <w:uiPriority w:val="0"/>
    <w:rPr>
      <w:rFonts w:asciiTheme="majorHAnsi" w:hAnsiTheme="majorHAnsi" w:eastAsiaTheme="majorEastAsia" w:cstheme="majorBidi"/>
      <w:b/>
      <w:bCs/>
      <w:kern w:val="2"/>
      <w:sz w:val="32"/>
      <w:szCs w:val="32"/>
    </w:rPr>
  </w:style>
  <w:style w:type="character" w:customStyle="1" w:styleId="20">
    <w:name w:val="正文文本 字符"/>
    <w:basedOn w:val="11"/>
    <w:link w:val="2"/>
    <w:qFormat/>
    <w:uiPriority w:val="99"/>
    <w:rPr>
      <w:rFonts w:ascii="华文楷体" w:hAnsi="华文楷体" w:eastAsia="LF_Kai" w:cstheme="minorBidi"/>
      <w:sz w:val="24"/>
      <w:lang w:val="en-GB"/>
    </w:rPr>
  </w:style>
  <w:style w:type="character" w:customStyle="1" w:styleId="21">
    <w:name w:val="页脚 字符"/>
    <w:basedOn w:val="11"/>
    <w:link w:val="8"/>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A26624CA-DD3D-4099-B3BA-1C2E8AC46127}">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7278</Words>
  <Characters>7608</Characters>
  <Lines>68</Lines>
  <Paragraphs>19</Paragraphs>
  <TotalTime>10</TotalTime>
  <ScaleCrop>false</ScaleCrop>
  <LinksUpToDate>false</LinksUpToDate>
  <CharactersWithSpaces>7686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2022-05-25T10:54:00Z</dcterms:created>
  <dc:creator>铭泰中泓</dc:creator>
  <cp:lastModifiedBy>12.唐波</cp:lastModifiedBy>
  <cp:lastPrinted>2023-01-06T13:51:00Z</cp:lastPrinted>
  <dcterms:modified xsi:type="dcterms:W3CDTF">2025-11-13T09:28:41Z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4A9BDAB1BEB7416A822C07943B93A118</vt:lpwstr>
  </property>
  <property fmtid="{D5CDD505-2E9C-101B-9397-08002B2CF9AE}" pid="4" name="KSOTemplateDocerSaveRecord">
    <vt:lpwstr>eyJoZGlkIjoiMDI0MTg3OTliYzVjNmQ5YjJhODdlMWZkZDg4NzFjMTMiLCJ1c2VySWQiOiIzMDc3MDIwMjEifQ==</vt:lpwstr>
  </property>
</Properties>
</file>